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F21" w:rsidRPr="00B95833" w:rsidRDefault="008A1F21" w:rsidP="008A1F21">
      <w:pPr>
        <w:widowControl w:val="0"/>
        <w:autoSpaceDE w:val="0"/>
        <w:autoSpaceDN w:val="0"/>
        <w:adjustRightInd w:val="0"/>
        <w:jc w:val="both"/>
        <w:rPr>
          <w:rFonts w:ascii="Calibri" w:hAnsi="Calibri" w:cs="Calibri"/>
          <w:b/>
          <w:bCs/>
        </w:rPr>
      </w:pPr>
      <w:r w:rsidRPr="00B95833">
        <w:rPr>
          <w:b/>
          <w:bCs/>
        </w:rPr>
        <w:t xml:space="preserve">Ειδική Συγγραφή Υποχρεώσεων </w:t>
      </w:r>
    </w:p>
    <w:p w:rsidR="008A1F21" w:rsidRPr="00B95833" w:rsidRDefault="008A1F21" w:rsidP="008A1F21">
      <w:pPr>
        <w:pStyle w:val="Default"/>
        <w:jc w:val="both"/>
        <w:rPr>
          <w:rFonts w:ascii="Calibri" w:hAnsi="Calibri" w:cs="Calibri"/>
          <w:b/>
          <w:bCs/>
        </w:rPr>
      </w:pPr>
      <w:r>
        <w:rPr>
          <w:rFonts w:ascii="Calibri" w:hAnsi="Calibri" w:cs="Calibri"/>
          <w:b/>
          <w:bCs/>
        </w:rPr>
        <w:t xml:space="preserve"> </w:t>
      </w:r>
    </w:p>
    <w:p w:rsidR="008A1F21" w:rsidRPr="00C568D9" w:rsidRDefault="008A1F21" w:rsidP="008A1F21">
      <w:pPr>
        <w:pStyle w:val="Default"/>
        <w:jc w:val="both"/>
        <w:rPr>
          <w:rFonts w:ascii="Calibri" w:hAnsi="Calibri" w:cs="Calibri"/>
          <w:b/>
          <w:bCs/>
        </w:rPr>
      </w:pPr>
      <w:r w:rsidRPr="00C568D9">
        <w:rPr>
          <w:rFonts w:ascii="Calibri" w:hAnsi="Calibri" w:cs="Calibri"/>
          <w:b/>
          <w:bCs/>
        </w:rPr>
        <w:t xml:space="preserve">ΑΡΘΡΟ 1ο : Αντικείμενο της προμήθειας. </w:t>
      </w:r>
    </w:p>
    <w:p w:rsidR="005047BE" w:rsidRDefault="008A1F21" w:rsidP="005047BE">
      <w:pPr>
        <w:pStyle w:val="5"/>
        <w:shd w:val="clear" w:color="auto" w:fill="auto"/>
        <w:spacing w:line="360" w:lineRule="auto"/>
        <w:ind w:firstLine="360"/>
        <w:jc w:val="both"/>
        <w:rPr>
          <w:rFonts w:ascii="Calibri" w:hAnsi="Calibri" w:cs="Calibri"/>
        </w:rPr>
      </w:pPr>
      <w:r w:rsidRPr="00C568D9">
        <w:rPr>
          <w:rFonts w:ascii="Calibri" w:hAnsi="Calibri" w:cs="Calibri"/>
        </w:rPr>
        <w:t xml:space="preserve">Η παρούσα μελέτη αφορά στην </w:t>
      </w:r>
      <w:r w:rsidR="005047BE" w:rsidRPr="008E5D75">
        <w:rPr>
          <w:rFonts w:ascii="Calibri" w:hAnsi="Calibri" w:cs="Calibri"/>
        </w:rPr>
        <w:t xml:space="preserve">«Προμήθεια και Τοποθέτηση εξοπλισμού για την αναβάθμιση παιδικών χαρών του Δήμου </w:t>
      </w:r>
      <w:proofErr w:type="spellStart"/>
      <w:r w:rsidR="005047BE" w:rsidRPr="008E5D75">
        <w:rPr>
          <w:rFonts w:ascii="Calibri" w:hAnsi="Calibri" w:cs="Calibri"/>
        </w:rPr>
        <w:t>Μαραθώνος</w:t>
      </w:r>
      <w:proofErr w:type="spellEnd"/>
      <w:r w:rsidR="005047BE" w:rsidRPr="008E5D75">
        <w:rPr>
          <w:rFonts w:ascii="Calibri" w:hAnsi="Calibri" w:cs="Calibri"/>
        </w:rPr>
        <w:t>»</w:t>
      </w:r>
      <w:r w:rsidRPr="00C568D9">
        <w:rPr>
          <w:rFonts w:ascii="Calibri" w:hAnsi="Calibri" w:cs="Calibri"/>
        </w:rPr>
        <w:t>, σύμφωνα με τα ευρωπ</w:t>
      </w:r>
      <w:r w:rsidR="00572610">
        <w:rPr>
          <w:rFonts w:ascii="Calibri" w:hAnsi="Calibri" w:cs="Calibri"/>
        </w:rPr>
        <w:t xml:space="preserve">αϊκά πρότυπα ασφαλείας </w:t>
      </w:r>
      <w:r w:rsidR="005047BE">
        <w:rPr>
          <w:rFonts w:ascii="Calibri" w:hAnsi="Calibri" w:cs="Calibri"/>
        </w:rPr>
        <w:t xml:space="preserve"> </w:t>
      </w:r>
      <w:r w:rsidR="00572610" w:rsidRPr="00572610">
        <w:rPr>
          <w:rFonts w:ascii="Calibri" w:hAnsi="Calibri" w:cs="Calibri"/>
        </w:rPr>
        <w:t xml:space="preserve"> </w:t>
      </w:r>
      <w:r w:rsidRPr="00C568D9">
        <w:rPr>
          <w:rFonts w:ascii="Calibri" w:hAnsi="Calibri" w:cs="Calibri"/>
        </w:rPr>
        <w:t xml:space="preserve"> και τις προδιαγραφές που έχει ορίσει το Υπουργείο Εσωτερικών με την υπ’ </w:t>
      </w:r>
      <w:proofErr w:type="spellStart"/>
      <w:r w:rsidRPr="00C568D9">
        <w:rPr>
          <w:rFonts w:ascii="Calibri" w:hAnsi="Calibri" w:cs="Calibri"/>
        </w:rPr>
        <w:t>αρίθμ</w:t>
      </w:r>
      <w:proofErr w:type="spellEnd"/>
      <w:r w:rsidRPr="00C568D9">
        <w:rPr>
          <w:rFonts w:ascii="Calibri" w:hAnsi="Calibri" w:cs="Calibri"/>
        </w:rPr>
        <w:t xml:space="preserve">. 28492/2009 Υπουργική Απόφαση (ΦΕΚ Β 931/18-05-2009), όπως αυτή τροποποιήθηκε και ισχύει με την υπ' </w:t>
      </w:r>
      <w:proofErr w:type="spellStart"/>
      <w:r w:rsidRPr="00C568D9">
        <w:rPr>
          <w:rFonts w:ascii="Calibri" w:hAnsi="Calibri" w:cs="Calibri"/>
        </w:rPr>
        <w:t>αρίθμ</w:t>
      </w:r>
      <w:proofErr w:type="spellEnd"/>
      <w:r w:rsidRPr="00C568D9">
        <w:rPr>
          <w:rFonts w:ascii="Calibri" w:hAnsi="Calibri" w:cs="Calibri"/>
        </w:rPr>
        <w:t xml:space="preserve">. 27934/2014 Υπουργική Απόφαση (ΦΕΚ 2029/ 25-7- 2014). </w:t>
      </w:r>
      <w:r w:rsidR="005047BE">
        <w:rPr>
          <w:rFonts w:ascii="Calibri" w:hAnsi="Calibri" w:cs="Calibri"/>
        </w:rPr>
        <w:t>.  Η συνολική επέμβαση θα αφορά στην αναβάθμιση δύο παιδικών χαρών εμβαδού μικρότερου των 400 τ.μ., δύο παιδικών χαρών εμβαδού μεγαλύτερου των 400 τ.μ. και μικρότερου των 800 τ.μ. και μίας μεγαλύτερης των 800 τ.μ.</w:t>
      </w:r>
    </w:p>
    <w:p w:rsidR="005047BE" w:rsidRDefault="005047BE" w:rsidP="005047BE">
      <w:pPr>
        <w:tabs>
          <w:tab w:val="left" w:pos="720"/>
        </w:tabs>
        <w:autoSpaceDE w:val="0"/>
        <w:autoSpaceDN w:val="0"/>
        <w:adjustRightInd w:val="0"/>
        <w:spacing w:line="360" w:lineRule="auto"/>
        <w:ind w:left="20" w:firstLine="700"/>
        <w:jc w:val="both"/>
        <w:rPr>
          <w:rFonts w:ascii="Calibri" w:hAnsi="Calibri" w:cs="Calibri"/>
        </w:rPr>
      </w:pPr>
      <w:r>
        <w:rPr>
          <w:rFonts w:ascii="Calibri" w:hAnsi="Calibri" w:cs="Calibri"/>
        </w:rPr>
        <w:t>Συγκεκριμένα η μελέτη αφορά στην αναβάθμιση των κάτωθι παιδικών χαρών:</w:t>
      </w:r>
    </w:p>
    <w:p w:rsidR="005047BE" w:rsidRDefault="005047BE" w:rsidP="005047BE">
      <w:pPr>
        <w:widowControl w:val="0"/>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 xml:space="preserve">Παιδική χαρά στην παραλία Νέας Μάκρης (μικρή απέναντι από οδό </w:t>
      </w:r>
      <w:proofErr w:type="spellStart"/>
      <w:r>
        <w:rPr>
          <w:rFonts w:ascii="Calibri" w:hAnsi="Calibri" w:cs="Calibri"/>
        </w:rPr>
        <w:t>Μωσαίου</w:t>
      </w:r>
      <w:proofErr w:type="spellEnd"/>
      <w:r>
        <w:rPr>
          <w:rFonts w:ascii="Calibri" w:hAnsi="Calibri" w:cs="Calibri"/>
        </w:rPr>
        <w:t>) - Δημοτική Κοινότητα Νέας Μάκρης , Ε=115</w:t>
      </w:r>
      <w:r>
        <w:rPr>
          <w:rFonts w:ascii="Calibri" w:hAnsi="Calibri" w:cs="Calibri"/>
          <w:lang w:val="en-US"/>
        </w:rPr>
        <w:t>m</w:t>
      </w:r>
      <w:r w:rsidRPr="00FB4D14">
        <w:rPr>
          <w:rFonts w:ascii="Calibri" w:hAnsi="Calibri" w:cs="Calibri"/>
        </w:rPr>
        <w:t>2</w:t>
      </w:r>
    </w:p>
    <w:p w:rsidR="005047BE" w:rsidRDefault="005047BE" w:rsidP="005047BE">
      <w:pPr>
        <w:widowControl w:val="0"/>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στην οδό Αισχύλου και Ιπποκράτους  (1</w:t>
      </w:r>
      <w:r>
        <w:rPr>
          <w:rFonts w:ascii="Calibri" w:hAnsi="Calibri" w:cs="Calibri"/>
          <w:vertAlign w:val="superscript"/>
        </w:rPr>
        <w:t>η</w:t>
      </w:r>
      <w:r>
        <w:rPr>
          <w:rFonts w:ascii="Calibri" w:hAnsi="Calibri" w:cs="Calibri"/>
        </w:rPr>
        <w:t xml:space="preserve"> Π.Ε.,  Κ.Χ. </w:t>
      </w:r>
      <w:r w:rsidRPr="00FB4D14">
        <w:rPr>
          <w:rFonts w:ascii="Calibri" w:hAnsi="Calibri" w:cs="Calibri"/>
        </w:rPr>
        <w:t>261</w:t>
      </w:r>
      <w:r>
        <w:rPr>
          <w:rFonts w:ascii="Calibri" w:hAnsi="Calibri" w:cs="Calibri"/>
        </w:rPr>
        <w:t xml:space="preserve"> - Δημοτική Κοινότητα Νέας Μάκρης</w:t>
      </w:r>
      <w:r w:rsidRPr="00FB4D14">
        <w:rPr>
          <w:rFonts w:ascii="Calibri" w:hAnsi="Calibri" w:cs="Calibri"/>
        </w:rPr>
        <w:t xml:space="preserve">, </w:t>
      </w:r>
      <w:r>
        <w:rPr>
          <w:rFonts w:ascii="Calibri" w:hAnsi="Calibri" w:cs="Calibri"/>
        </w:rPr>
        <w:t xml:space="preserve"> Ε=1</w:t>
      </w:r>
      <w:r w:rsidRPr="00FB4D14">
        <w:rPr>
          <w:rFonts w:ascii="Calibri" w:hAnsi="Calibri" w:cs="Calibri"/>
        </w:rPr>
        <w:t>050</w:t>
      </w:r>
      <w:r>
        <w:rPr>
          <w:rFonts w:ascii="Calibri" w:hAnsi="Calibri" w:cs="Calibri"/>
          <w:lang w:val="en-US"/>
        </w:rPr>
        <w:t>m</w:t>
      </w:r>
      <w:r w:rsidRPr="00FB4D14">
        <w:rPr>
          <w:rFonts w:ascii="Calibri" w:hAnsi="Calibri" w:cs="Calibri"/>
        </w:rPr>
        <w:t>2</w:t>
      </w:r>
    </w:p>
    <w:p w:rsidR="005047BE" w:rsidRDefault="005047BE" w:rsidP="005047BE">
      <w:pPr>
        <w:widowControl w:val="0"/>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στην οδό Γεωργίου Λένα - Δημοτική Κοινότητα Μαραθώνα,  Ε=455</w:t>
      </w:r>
      <w:r>
        <w:rPr>
          <w:rFonts w:ascii="Calibri" w:hAnsi="Calibri" w:cs="Calibri"/>
          <w:lang w:val="en-US"/>
        </w:rPr>
        <w:t>m</w:t>
      </w:r>
      <w:r w:rsidRPr="00FB4D14">
        <w:rPr>
          <w:rFonts w:ascii="Calibri" w:hAnsi="Calibri" w:cs="Calibri"/>
        </w:rPr>
        <w:t>2</w:t>
      </w:r>
    </w:p>
    <w:p w:rsidR="005047BE" w:rsidRDefault="005047BE" w:rsidP="005047BE">
      <w:pPr>
        <w:widowControl w:val="0"/>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Αγίου Αθανασίου  - Δημοτική Κοινότητα Γραμματικού</w:t>
      </w:r>
      <w:r w:rsidRPr="00FB4D14">
        <w:rPr>
          <w:rFonts w:ascii="Calibri" w:hAnsi="Calibri" w:cs="Calibri"/>
        </w:rPr>
        <w:t xml:space="preserve">, </w:t>
      </w:r>
      <w:r>
        <w:rPr>
          <w:rFonts w:ascii="Calibri" w:hAnsi="Calibri" w:cs="Calibri"/>
        </w:rPr>
        <w:t xml:space="preserve"> Ε=</w:t>
      </w:r>
      <w:r w:rsidRPr="00FB4D14">
        <w:rPr>
          <w:rFonts w:ascii="Calibri" w:hAnsi="Calibri" w:cs="Calibri"/>
        </w:rPr>
        <w:t>274</w:t>
      </w:r>
      <w:r>
        <w:rPr>
          <w:rFonts w:ascii="Calibri" w:hAnsi="Calibri" w:cs="Calibri"/>
          <w:lang w:val="en-US"/>
        </w:rPr>
        <w:t>m</w:t>
      </w:r>
      <w:r w:rsidRPr="00FB4D14">
        <w:rPr>
          <w:rFonts w:ascii="Calibri" w:hAnsi="Calibri" w:cs="Calibri"/>
        </w:rPr>
        <w:t>2</w:t>
      </w:r>
    </w:p>
    <w:p w:rsidR="005047BE" w:rsidRPr="005047BE" w:rsidRDefault="005047BE" w:rsidP="005047BE">
      <w:pPr>
        <w:widowControl w:val="0"/>
        <w:numPr>
          <w:ilvl w:val="0"/>
          <w:numId w:val="1"/>
        </w:numPr>
        <w:tabs>
          <w:tab w:val="left" w:pos="720"/>
        </w:tabs>
        <w:autoSpaceDE w:val="0"/>
        <w:autoSpaceDN w:val="0"/>
        <w:adjustRightInd w:val="0"/>
        <w:spacing w:line="360" w:lineRule="auto"/>
        <w:ind w:left="1418" w:hanging="360"/>
        <w:rPr>
          <w:rFonts w:ascii="Calibri" w:hAnsi="Calibri" w:cs="Calibri"/>
          <w:b/>
          <w:bCs/>
          <w:sz w:val="28"/>
          <w:szCs w:val="28"/>
          <w:u w:val="single"/>
        </w:rPr>
      </w:pPr>
      <w:r>
        <w:rPr>
          <w:rFonts w:ascii="Calibri" w:hAnsi="Calibri" w:cs="Calibri"/>
        </w:rPr>
        <w:t>Παιδική χαρά δίπλα στον Βρεφονηπιακό Σταθμό   - Δημοτική Κοινότητα Βαρνάβα</w:t>
      </w:r>
      <w:r w:rsidRPr="00FB4D14">
        <w:rPr>
          <w:rFonts w:ascii="Calibri" w:hAnsi="Calibri" w:cs="Calibri"/>
        </w:rPr>
        <w:t xml:space="preserve">, </w:t>
      </w:r>
      <w:r>
        <w:rPr>
          <w:rFonts w:ascii="Calibri" w:hAnsi="Calibri" w:cs="Calibri"/>
        </w:rPr>
        <w:t xml:space="preserve"> Ε=</w:t>
      </w:r>
      <w:r w:rsidRPr="00FB4D14">
        <w:rPr>
          <w:rFonts w:ascii="Calibri" w:hAnsi="Calibri" w:cs="Calibri"/>
        </w:rPr>
        <w:t>409</w:t>
      </w:r>
      <w:r>
        <w:rPr>
          <w:rFonts w:ascii="Calibri" w:hAnsi="Calibri" w:cs="Calibri"/>
          <w:lang w:val="en-US"/>
        </w:rPr>
        <w:t>m</w:t>
      </w:r>
      <w:r w:rsidRPr="00FB4D14">
        <w:rPr>
          <w:rFonts w:ascii="Calibri" w:hAnsi="Calibri" w:cs="Calibri"/>
        </w:rPr>
        <w:t>2</w:t>
      </w:r>
    </w:p>
    <w:p w:rsidR="008A1F21" w:rsidRPr="00C568D9" w:rsidRDefault="005047BE" w:rsidP="005047BE">
      <w:pPr>
        <w:tabs>
          <w:tab w:val="left" w:pos="720"/>
        </w:tabs>
        <w:autoSpaceDE w:val="0"/>
        <w:autoSpaceDN w:val="0"/>
        <w:adjustRightInd w:val="0"/>
        <w:spacing w:line="360" w:lineRule="auto"/>
        <w:ind w:left="20" w:firstLine="700"/>
        <w:jc w:val="both"/>
        <w:rPr>
          <w:rFonts w:ascii="Calibri" w:hAnsi="Calibri" w:cs="Calibri"/>
        </w:rPr>
      </w:pPr>
      <w:r w:rsidRPr="002A50DC">
        <w:rPr>
          <w:rFonts w:ascii="Calibri" w:hAnsi="Calibri" w:cs="Calibri"/>
        </w:rPr>
        <w:t>Η προμήθεια των ειδών που προβλέπεται να γίνει στα πλαίσια της παρούσας μελέτης αφορά:  α) στην προμήθεια οργάνων παιδικών χαρών, β) αστικού εξοπλισμού, γ) δαπέδων ασφαλείας, δ) φωτιστικών  και ε) περιφράξεων. Επιλέξιμες δαπάνες από το πρόγραμμα Φιλόδημος ΙΙ αποτελούν τα (α), (γ) και (δ). Τα (β) και (ε) θα χρηματοδοτηθούν από ιδίους πόρους του Δήμου.</w:t>
      </w:r>
      <w:r>
        <w:rPr>
          <w:rFonts w:ascii="Calibri" w:hAnsi="Calibri" w:cs="Calibri"/>
        </w:rPr>
        <w:t xml:space="preserve">      </w:t>
      </w:r>
    </w:p>
    <w:p w:rsidR="008A1F21" w:rsidRDefault="008A1F21" w:rsidP="008A1F21">
      <w:pPr>
        <w:suppressAutoHyphens/>
        <w:autoSpaceDE w:val="0"/>
        <w:autoSpaceDN w:val="0"/>
        <w:adjustRightInd w:val="0"/>
        <w:spacing w:line="360" w:lineRule="auto"/>
        <w:jc w:val="both"/>
        <w:rPr>
          <w:rFonts w:ascii="Calibri" w:hAnsi="Calibri" w:cs="Calibri"/>
        </w:rPr>
      </w:pPr>
      <w:r w:rsidRPr="00C568D9">
        <w:rPr>
          <w:rFonts w:ascii="Calibri" w:hAnsi="Calibri" w:cs="Calibri"/>
        </w:rPr>
        <w:t xml:space="preserve">Ο προϋπολογισμός ανέρχεται </w:t>
      </w:r>
      <w:r>
        <w:rPr>
          <w:rFonts w:ascii="Calibri" w:hAnsi="Calibri" w:cs="Calibri"/>
        </w:rPr>
        <w:t xml:space="preserve">στο ποσό των </w:t>
      </w:r>
      <w:r w:rsidR="00572610" w:rsidRPr="00572610">
        <w:rPr>
          <w:rFonts w:ascii="Calibri" w:hAnsi="Calibri" w:cs="Calibri"/>
        </w:rPr>
        <w:t>181451.61</w:t>
      </w:r>
      <w:r>
        <w:rPr>
          <w:rFonts w:ascii="Calibri" w:hAnsi="Calibri" w:cs="Calibri"/>
        </w:rPr>
        <w:t xml:space="preserve"> ευρώ πλέον Φ.Π.Α. 24% (</w:t>
      </w:r>
      <w:r w:rsidR="00572610" w:rsidRPr="006F15D3">
        <w:t xml:space="preserve">43548.39 </w:t>
      </w:r>
      <w:r w:rsidR="00572610">
        <w:t>Ευρώ</w:t>
      </w:r>
      <w:r>
        <w:rPr>
          <w:rFonts w:ascii="Calibri" w:hAnsi="Calibri" w:cs="Calibri"/>
        </w:rPr>
        <w:t xml:space="preserve">), ήτοι η συνολική δαπάνη ανέρχεται στο ποσό των </w:t>
      </w:r>
      <w:r w:rsidR="00572610">
        <w:rPr>
          <w:rFonts w:ascii="Calibri" w:hAnsi="Calibri" w:cs="Calibri"/>
          <w:b/>
          <w:bCs/>
        </w:rPr>
        <w:t>225.000,00</w:t>
      </w:r>
      <w:r>
        <w:rPr>
          <w:rFonts w:ascii="Calibri" w:hAnsi="Calibri" w:cs="Calibri"/>
          <w:b/>
          <w:bCs/>
        </w:rPr>
        <w:t xml:space="preserve"> ευρώ</w:t>
      </w:r>
      <w:r>
        <w:rPr>
          <w:rFonts w:ascii="Calibri" w:hAnsi="Calibri" w:cs="Calibri"/>
        </w:rPr>
        <w:t>, εκ των οποίων :</w:t>
      </w:r>
    </w:p>
    <w:p w:rsidR="00572610" w:rsidRDefault="008A1F21" w:rsidP="00572610">
      <w:pPr>
        <w:pStyle w:val="normalwithoutspacing"/>
      </w:pPr>
      <w:r>
        <w:t xml:space="preserve">Α. </w:t>
      </w:r>
      <w:r w:rsidR="00572610">
        <w:t xml:space="preserve">ΥΠΟΥΡΓΕΙΟ ΕΣΩΤΕΡΙΚΩΝ , για τις επιλέξιμες δαπάνες από το ΠΡΟΓΡΑΜΜΑ ΦΙΛΟΔΗΜΟΣ ΙΙ  </w:t>
      </w:r>
      <w:proofErr w:type="spellStart"/>
      <w:r w:rsidR="00572610">
        <w:t>υπ’αρ</w:t>
      </w:r>
      <w:proofErr w:type="spellEnd"/>
      <w:r w:rsidR="00572610">
        <w:t xml:space="preserve">. </w:t>
      </w:r>
      <w:r w:rsidR="00036FEE" w:rsidRPr="00036FEE">
        <w:t>31228/21-6-2018</w:t>
      </w:r>
      <w:r w:rsidR="00572610">
        <w:t xml:space="preserve">   ένταξη στο Πρόγραμμα  </w:t>
      </w:r>
    </w:p>
    <w:p w:rsidR="00572610" w:rsidRPr="005047BE" w:rsidRDefault="00572610" w:rsidP="00040D99">
      <w:pPr>
        <w:pStyle w:val="normalwithoutspacing"/>
        <w:spacing w:line="360" w:lineRule="auto"/>
        <w:rPr>
          <w:rFonts w:asciiTheme="minorHAnsi" w:hAnsiTheme="minorHAnsi"/>
        </w:rPr>
      </w:pPr>
      <w:r w:rsidRPr="005047BE">
        <w:rPr>
          <w:rFonts w:asciiTheme="minorHAnsi" w:hAnsiTheme="minorHAnsi"/>
        </w:rPr>
        <w:lastRenderedPageBreak/>
        <w:t xml:space="preserve">Η δαπάνη βαρύνει την με Κ.Α. : </w:t>
      </w:r>
      <w:r w:rsidR="00036FEE" w:rsidRPr="00036FEE">
        <w:rPr>
          <w:rFonts w:asciiTheme="minorHAnsi" w:hAnsiTheme="minorHAnsi"/>
        </w:rPr>
        <w:t>64.7332.07</w:t>
      </w:r>
      <w:r w:rsidRPr="005047BE">
        <w:rPr>
          <w:rFonts w:asciiTheme="minorHAnsi" w:hAnsiTheme="minorHAnsi"/>
        </w:rPr>
        <w:t xml:space="preserve"> σχετική πίστωση του προϋπολογισμού του οικονομικού έτους 2019 του Δήμου </w:t>
      </w:r>
      <w:proofErr w:type="spellStart"/>
      <w:r w:rsidRPr="005047BE">
        <w:rPr>
          <w:rFonts w:asciiTheme="minorHAnsi" w:hAnsiTheme="minorHAnsi"/>
        </w:rPr>
        <w:t>Μαραθώνος</w:t>
      </w:r>
      <w:proofErr w:type="spellEnd"/>
      <w:r w:rsidRPr="005047BE">
        <w:rPr>
          <w:rFonts w:asciiTheme="minorHAnsi" w:hAnsiTheme="minorHAnsi"/>
        </w:rPr>
        <w:t xml:space="preserve"> με 169.354,84 € (</w:t>
      </w:r>
      <w:r w:rsidR="00036FEE">
        <w:rPr>
          <w:rFonts w:asciiTheme="minorHAnsi" w:hAnsiTheme="minorHAnsi"/>
        </w:rPr>
        <w:t xml:space="preserve"> πλέον </w:t>
      </w:r>
      <w:r w:rsidRPr="005047BE">
        <w:rPr>
          <w:rFonts w:asciiTheme="minorHAnsi" w:hAnsiTheme="minorHAnsi"/>
        </w:rPr>
        <w:t>ΦΠΑ 24%)</w:t>
      </w:r>
    </w:p>
    <w:p w:rsidR="008A1F21" w:rsidRPr="005047BE" w:rsidRDefault="008A1F21" w:rsidP="00040D99">
      <w:pPr>
        <w:suppressAutoHyphens/>
        <w:autoSpaceDE w:val="0"/>
        <w:autoSpaceDN w:val="0"/>
        <w:adjustRightInd w:val="0"/>
        <w:spacing w:line="360" w:lineRule="auto"/>
        <w:jc w:val="both"/>
        <w:rPr>
          <w:rFonts w:asciiTheme="minorHAnsi" w:hAnsiTheme="minorHAnsi" w:cs="Calibri"/>
          <w:b/>
          <w:bCs/>
          <w:sz w:val="22"/>
          <w:szCs w:val="22"/>
        </w:rPr>
      </w:pPr>
      <w:r w:rsidRPr="005047BE">
        <w:rPr>
          <w:rFonts w:asciiTheme="minorHAnsi" w:hAnsiTheme="minorHAnsi" w:cs="Calibri"/>
        </w:rPr>
        <w:t xml:space="preserve">Β. </w:t>
      </w:r>
      <w:r w:rsidR="00572610" w:rsidRPr="005047BE">
        <w:rPr>
          <w:rFonts w:asciiTheme="minorHAnsi" w:hAnsiTheme="minorHAnsi"/>
        </w:rPr>
        <w:t xml:space="preserve">ΔΗΜΟΣ ΜΑΡΑΘΩΝΟΣ με ΙΔΙΟΥΣ ΠΟΡΟΥΣ για τις μη επιλέξιμες από το πρόγραμμα ΦΙΛΟΔΗΜΟΣ ΙΙ δαπάνες. Η δαπάνη θα βαρύνει </w:t>
      </w:r>
      <w:r w:rsidR="005047BE" w:rsidRPr="005047BE">
        <w:rPr>
          <w:rFonts w:asciiTheme="minorHAnsi" w:hAnsiTheme="minorHAnsi"/>
        </w:rPr>
        <w:t>την με ΚΑ</w:t>
      </w:r>
      <w:r w:rsidR="00036FEE">
        <w:rPr>
          <w:rFonts w:asciiTheme="minorHAnsi" w:hAnsiTheme="minorHAnsi"/>
        </w:rPr>
        <w:t xml:space="preserve"> 30.7332.07 </w:t>
      </w:r>
      <w:r w:rsidR="005047BE" w:rsidRPr="005047BE">
        <w:rPr>
          <w:rFonts w:asciiTheme="minorHAnsi" w:hAnsiTheme="minorHAnsi"/>
        </w:rPr>
        <w:t xml:space="preserve">σχετική πίστωση του  </w:t>
      </w:r>
      <w:r w:rsidR="00572610" w:rsidRPr="005047BE">
        <w:rPr>
          <w:rFonts w:asciiTheme="minorHAnsi" w:hAnsiTheme="minorHAnsi"/>
        </w:rPr>
        <w:t xml:space="preserve">προϋπολογισμού του οικονομικού έτους 2019 του Δήμου </w:t>
      </w:r>
      <w:proofErr w:type="spellStart"/>
      <w:r w:rsidR="00572610" w:rsidRPr="005047BE">
        <w:rPr>
          <w:rFonts w:asciiTheme="minorHAnsi" w:hAnsiTheme="minorHAnsi"/>
        </w:rPr>
        <w:t>Μαραθώνος</w:t>
      </w:r>
      <w:proofErr w:type="spellEnd"/>
      <w:r w:rsidR="00572610" w:rsidRPr="005047BE">
        <w:rPr>
          <w:rFonts w:asciiTheme="minorHAnsi" w:hAnsiTheme="minorHAnsi"/>
        </w:rPr>
        <w:t xml:space="preserve"> με 12.096,77€ (</w:t>
      </w:r>
      <w:r w:rsidR="00036FEE">
        <w:rPr>
          <w:rFonts w:asciiTheme="minorHAnsi" w:hAnsiTheme="minorHAnsi"/>
        </w:rPr>
        <w:t>πλέον</w:t>
      </w:r>
      <w:r w:rsidR="00572610" w:rsidRPr="005047BE">
        <w:rPr>
          <w:rFonts w:asciiTheme="minorHAnsi" w:hAnsiTheme="minorHAnsi"/>
        </w:rPr>
        <w:t xml:space="preserve"> ΦΠΑ 24%)</w:t>
      </w:r>
      <w:r w:rsidR="00036FEE">
        <w:rPr>
          <w:rFonts w:asciiTheme="minorHAnsi" w:hAnsiTheme="minorHAnsi"/>
        </w:rPr>
        <w:t>.</w:t>
      </w:r>
      <w:r w:rsidR="005047BE" w:rsidRPr="005047BE">
        <w:rPr>
          <w:rFonts w:asciiTheme="minorHAnsi" w:hAnsiTheme="minorHAnsi"/>
        </w:rPr>
        <w:t xml:space="preserve">    </w:t>
      </w:r>
    </w:p>
    <w:p w:rsidR="008A1F21" w:rsidRPr="005047BE" w:rsidRDefault="00572610" w:rsidP="00040D99">
      <w:pPr>
        <w:pStyle w:val="Default"/>
        <w:spacing w:line="360" w:lineRule="auto"/>
        <w:jc w:val="both"/>
        <w:rPr>
          <w:rFonts w:asciiTheme="minorHAnsi" w:hAnsiTheme="minorHAnsi" w:cs="Calibri"/>
          <w:b/>
          <w:bCs/>
        </w:rPr>
      </w:pPr>
      <w:r w:rsidRPr="005047BE">
        <w:rPr>
          <w:rFonts w:asciiTheme="minorHAnsi" w:hAnsiTheme="minorHAnsi" w:cs="Calibri"/>
          <w:b/>
          <w:bCs/>
        </w:rPr>
        <w:t xml:space="preserve"> </w:t>
      </w:r>
    </w:p>
    <w:p w:rsidR="008A1F21" w:rsidRPr="005047BE" w:rsidRDefault="008A1F21" w:rsidP="00040D99">
      <w:pPr>
        <w:pStyle w:val="Default"/>
        <w:spacing w:line="360" w:lineRule="auto"/>
        <w:jc w:val="both"/>
        <w:rPr>
          <w:rFonts w:asciiTheme="minorHAnsi" w:hAnsiTheme="minorHAnsi" w:cs="Calibri"/>
          <w:b/>
          <w:bCs/>
        </w:rPr>
      </w:pPr>
      <w:r w:rsidRPr="005047BE">
        <w:rPr>
          <w:rFonts w:asciiTheme="minorHAnsi" w:hAnsiTheme="minorHAnsi" w:cs="Calibri"/>
          <w:b/>
          <w:bCs/>
        </w:rPr>
        <w:t xml:space="preserve">ΑΡΘΡΟ 2ο: Ισχύουσες διατάξεις </w:t>
      </w:r>
    </w:p>
    <w:p w:rsidR="008A1F21" w:rsidRPr="005047BE" w:rsidRDefault="008A1F21" w:rsidP="00040D99">
      <w:pPr>
        <w:pStyle w:val="Default"/>
        <w:spacing w:line="360" w:lineRule="auto"/>
        <w:jc w:val="both"/>
        <w:rPr>
          <w:rFonts w:asciiTheme="minorHAnsi" w:hAnsiTheme="minorHAnsi" w:cs="Calibri"/>
        </w:rPr>
      </w:pPr>
      <w:r w:rsidRPr="005047BE">
        <w:rPr>
          <w:rFonts w:asciiTheme="minorHAnsi" w:hAnsiTheme="minorHAnsi" w:cs="Calibri"/>
        </w:rPr>
        <w:t xml:space="preserve">Η προμήθεια θα πραγματοποιηθεί σύμφωνα με : </w:t>
      </w:r>
    </w:p>
    <w:p w:rsidR="008A1F21" w:rsidRPr="005047BE" w:rsidRDefault="008A1F21" w:rsidP="00040D99">
      <w:pPr>
        <w:pStyle w:val="Default"/>
        <w:spacing w:line="360" w:lineRule="auto"/>
        <w:jc w:val="both"/>
        <w:rPr>
          <w:rFonts w:asciiTheme="minorHAnsi" w:hAnsiTheme="minorHAnsi" w:cs="Calibri"/>
        </w:rPr>
      </w:pPr>
      <w:r w:rsidRPr="005047BE">
        <w:rPr>
          <w:rFonts w:asciiTheme="minorHAnsi" w:hAnsiTheme="minorHAnsi" w:cs="Calibri"/>
        </w:rPr>
        <w:t xml:space="preserve">1. Τις διατάξεις του Ν. 3852/2010. «Νέα Αρχιτεκτονική της Αυτοδιοίκησης και της Αποκεντρωμένης Διοίκησης - Πρόγραμμα Καλλικράτης.» </w:t>
      </w:r>
    </w:p>
    <w:p w:rsidR="008A1F21" w:rsidRPr="005047BE" w:rsidRDefault="008A1F21" w:rsidP="00040D99">
      <w:pPr>
        <w:pStyle w:val="Default"/>
        <w:spacing w:line="360" w:lineRule="auto"/>
        <w:jc w:val="both"/>
        <w:rPr>
          <w:rFonts w:asciiTheme="minorHAnsi" w:hAnsiTheme="minorHAnsi" w:cs="Calibri"/>
        </w:rPr>
      </w:pPr>
      <w:r w:rsidRPr="005047BE">
        <w:rPr>
          <w:rFonts w:asciiTheme="minorHAnsi" w:hAnsiTheme="minorHAnsi" w:cs="Calibri"/>
        </w:rPr>
        <w:t xml:space="preserve">2. Την παρ. 4 του άρθρου 209 του Ν. 3463/2006, ( Κύρωση του Κώδικα Δήμων και Κοινοτήτων) όπως αναδιατυπώθηκε με την παρ. 3 του άρθρου 22 του Ν. 3536/2007. (ΦΕΚ 42/Α'/23.2.2007 ‘Ειδικές ρυθμίσεις θεμάτων μεταναστευτικής πολιτικής και λοιπών ζητημάτων αρμοδιότητας Υπουργείου Εσωτερικών, Δημόσιας Διοίκησης και Αποκέντρωσης.’) </w:t>
      </w:r>
    </w:p>
    <w:p w:rsidR="008A1F21" w:rsidRPr="005047BE" w:rsidRDefault="008A1F21" w:rsidP="00040D99">
      <w:pPr>
        <w:pStyle w:val="Default"/>
        <w:spacing w:line="360" w:lineRule="auto"/>
        <w:jc w:val="both"/>
        <w:rPr>
          <w:rFonts w:asciiTheme="minorHAnsi" w:hAnsiTheme="minorHAnsi" w:cs="Calibri"/>
        </w:rPr>
      </w:pPr>
      <w:r w:rsidRPr="005047BE">
        <w:rPr>
          <w:rFonts w:asciiTheme="minorHAnsi" w:hAnsiTheme="minorHAnsi" w:cs="Calibri"/>
        </w:rPr>
        <w:t xml:space="preserve">3. Το άρθρο 57 του Ν.4403/2016. </w:t>
      </w:r>
    </w:p>
    <w:p w:rsidR="008A1F21" w:rsidRPr="005047BE" w:rsidRDefault="008A1F21" w:rsidP="00040D99">
      <w:pPr>
        <w:pStyle w:val="Default"/>
        <w:spacing w:line="360" w:lineRule="auto"/>
        <w:jc w:val="both"/>
        <w:rPr>
          <w:rFonts w:asciiTheme="minorHAnsi" w:hAnsiTheme="minorHAnsi" w:cs="Calibri"/>
        </w:rPr>
      </w:pPr>
      <w:r w:rsidRPr="005047BE">
        <w:rPr>
          <w:rFonts w:asciiTheme="minorHAnsi" w:hAnsiTheme="minorHAnsi" w:cs="Calibri"/>
        </w:rPr>
        <w:t xml:space="preserve">4. Τις διατάξεις του Ν. 4412/2016. ‘Δημόσιες Συμβάσεις Έργων, Προμηθειών και Υπηρεσιών (προσαρμογή στις Οδηγίες 2014/24/ΕΕ και 2014/25/ΕΕ)’. </w:t>
      </w:r>
    </w:p>
    <w:p w:rsidR="00CD1A33" w:rsidRPr="005047BE" w:rsidRDefault="00CD1A33" w:rsidP="00040D99">
      <w:pPr>
        <w:spacing w:line="360" w:lineRule="auto"/>
        <w:rPr>
          <w:rFonts w:asciiTheme="minorHAnsi" w:hAnsiTheme="minorHAnsi"/>
          <w:szCs w:val="22"/>
        </w:rPr>
      </w:pPr>
      <w:r w:rsidRPr="005047BE">
        <w:rPr>
          <w:rFonts w:asciiTheme="minorHAnsi" w:hAnsiTheme="minorHAnsi" w:cs="Calibri"/>
        </w:rPr>
        <w:t>5.</w:t>
      </w:r>
      <w:r w:rsidRPr="005047BE">
        <w:rPr>
          <w:rFonts w:asciiTheme="minorHAnsi" w:hAnsiTheme="minorHAnsi"/>
          <w:szCs w:val="22"/>
        </w:rPr>
        <w:t xml:space="preserve"> τις διατάξεις του </w:t>
      </w:r>
      <w:r w:rsidRPr="005047BE">
        <w:rPr>
          <w:rFonts w:asciiTheme="minorHAnsi" w:hAnsiTheme="minorHAnsi"/>
          <w:b/>
          <w:bCs/>
          <w:szCs w:val="22"/>
        </w:rPr>
        <w:t xml:space="preserve">ν. 4555/2018 </w:t>
      </w:r>
      <w:r w:rsidRPr="005047BE">
        <w:rPr>
          <w:rFonts w:asciiTheme="minorHAnsi" w:hAnsiTheme="minorHAnsi"/>
          <w:szCs w:val="22"/>
        </w:rPr>
        <w:t>(Α΄133) με τίτλο: «</w:t>
      </w:r>
      <w:r w:rsidRPr="005047BE">
        <w:rPr>
          <w:rFonts w:asciiTheme="minorHAnsi" w:hAnsiTheme="minorHAnsi"/>
          <w:i/>
          <w:iCs/>
          <w:szCs w:val="22"/>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w:t>
      </w:r>
      <w:r w:rsidRPr="005047BE">
        <w:rPr>
          <w:rFonts w:asciiTheme="minorHAnsi" w:hAnsiTheme="minorHAnsi"/>
          <w:szCs w:val="22"/>
        </w:rPr>
        <w:t xml:space="preserve">» </w:t>
      </w:r>
    </w:p>
    <w:p w:rsidR="008A1F21" w:rsidRPr="005047BE" w:rsidRDefault="008A1F21" w:rsidP="00040D99">
      <w:pPr>
        <w:pStyle w:val="Default"/>
        <w:spacing w:line="360" w:lineRule="auto"/>
        <w:jc w:val="both"/>
        <w:rPr>
          <w:rFonts w:asciiTheme="minorHAnsi" w:hAnsiTheme="minorHAnsi" w:cs="Calibri"/>
          <w:b/>
          <w:bCs/>
        </w:rPr>
      </w:pPr>
    </w:p>
    <w:p w:rsidR="008A1F21" w:rsidRPr="005047BE" w:rsidRDefault="008A1F21" w:rsidP="00040D99">
      <w:pPr>
        <w:pStyle w:val="Default"/>
        <w:spacing w:line="360" w:lineRule="auto"/>
        <w:jc w:val="both"/>
        <w:rPr>
          <w:rFonts w:asciiTheme="minorHAnsi" w:hAnsiTheme="minorHAnsi" w:cs="Calibri"/>
          <w:b/>
          <w:bCs/>
        </w:rPr>
      </w:pPr>
      <w:r w:rsidRPr="005047BE">
        <w:rPr>
          <w:rFonts w:asciiTheme="minorHAnsi" w:hAnsiTheme="minorHAnsi" w:cs="Calibri"/>
          <w:b/>
          <w:bCs/>
        </w:rPr>
        <w:t xml:space="preserve">ΑΡΘΡΟ 3ο : Συμβατικά στοιχεία </w:t>
      </w:r>
    </w:p>
    <w:p w:rsidR="008A1F21" w:rsidRPr="005047BE" w:rsidRDefault="008A1F21" w:rsidP="00040D99">
      <w:pPr>
        <w:pStyle w:val="Default"/>
        <w:spacing w:line="360" w:lineRule="auto"/>
        <w:jc w:val="both"/>
        <w:rPr>
          <w:rFonts w:asciiTheme="minorHAnsi" w:hAnsiTheme="minorHAnsi" w:cs="Calibri"/>
        </w:rPr>
      </w:pPr>
      <w:r w:rsidRPr="005047BE">
        <w:rPr>
          <w:rFonts w:asciiTheme="minorHAnsi" w:hAnsiTheme="minorHAnsi" w:cs="Calibri"/>
        </w:rPr>
        <w:t xml:space="preserve">Τα συμβατικά στοιχεία της μελέτης σε σειρά ισχύος είναι : </w:t>
      </w:r>
    </w:p>
    <w:p w:rsidR="008A1F21" w:rsidRPr="005047BE" w:rsidRDefault="008A1F21" w:rsidP="00040D99">
      <w:pPr>
        <w:pStyle w:val="Default"/>
        <w:spacing w:line="360" w:lineRule="auto"/>
        <w:jc w:val="both"/>
        <w:rPr>
          <w:rFonts w:asciiTheme="minorHAnsi" w:hAnsiTheme="minorHAnsi" w:cs="Calibri"/>
        </w:rPr>
      </w:pPr>
      <w:r w:rsidRPr="005047BE">
        <w:rPr>
          <w:rFonts w:asciiTheme="minorHAnsi" w:hAnsiTheme="minorHAnsi" w:cs="Calibri"/>
        </w:rPr>
        <w:t xml:space="preserve">α) Διακήρυξη </w:t>
      </w:r>
    </w:p>
    <w:p w:rsidR="008A1F21" w:rsidRPr="005047BE" w:rsidRDefault="008A1F21" w:rsidP="00040D99">
      <w:pPr>
        <w:pStyle w:val="Default"/>
        <w:spacing w:line="360" w:lineRule="auto"/>
        <w:jc w:val="both"/>
        <w:rPr>
          <w:rFonts w:asciiTheme="minorHAnsi" w:hAnsiTheme="minorHAnsi" w:cs="Calibri"/>
        </w:rPr>
      </w:pPr>
      <w:r w:rsidRPr="005047BE">
        <w:rPr>
          <w:rFonts w:asciiTheme="minorHAnsi" w:hAnsiTheme="minorHAnsi" w:cs="Calibri"/>
        </w:rPr>
        <w:t xml:space="preserve">β) </w:t>
      </w:r>
      <w:r w:rsidR="00036FEE">
        <w:rPr>
          <w:rFonts w:asciiTheme="minorHAnsi" w:hAnsiTheme="minorHAnsi" w:cs="Calibri"/>
        </w:rPr>
        <w:t>Μελέτη</w:t>
      </w:r>
      <w:bookmarkStart w:id="0" w:name="_GoBack"/>
      <w:bookmarkEnd w:id="0"/>
      <w:r w:rsidR="00040D99">
        <w:rPr>
          <w:rFonts w:asciiTheme="minorHAnsi" w:hAnsiTheme="minorHAnsi" w:cs="Calibri"/>
        </w:rPr>
        <w:t xml:space="preserve"> 21/18 Δ/</w:t>
      </w:r>
      <w:proofErr w:type="spellStart"/>
      <w:r w:rsidR="00040D99">
        <w:rPr>
          <w:rFonts w:asciiTheme="minorHAnsi" w:hAnsiTheme="minorHAnsi" w:cs="Calibri"/>
        </w:rPr>
        <w:t>νσης</w:t>
      </w:r>
      <w:proofErr w:type="spellEnd"/>
      <w:r w:rsidR="00040D99">
        <w:rPr>
          <w:rFonts w:asciiTheme="minorHAnsi" w:hAnsiTheme="minorHAnsi" w:cs="Calibri"/>
        </w:rPr>
        <w:t xml:space="preserve"> Τ.Υ.</w:t>
      </w:r>
    </w:p>
    <w:p w:rsidR="008A1F21" w:rsidRPr="005047BE" w:rsidRDefault="008A1F21" w:rsidP="00040D99">
      <w:pPr>
        <w:pStyle w:val="Default"/>
        <w:spacing w:line="360" w:lineRule="auto"/>
        <w:jc w:val="both"/>
        <w:rPr>
          <w:rFonts w:asciiTheme="minorHAnsi" w:hAnsiTheme="minorHAnsi" w:cs="Calibri"/>
        </w:rPr>
      </w:pPr>
      <w:r w:rsidRPr="005047BE">
        <w:rPr>
          <w:rFonts w:asciiTheme="minorHAnsi" w:hAnsiTheme="minorHAnsi" w:cs="Calibri"/>
        </w:rPr>
        <w:t>γ) Συγγραφή Υποχρεώσεων</w:t>
      </w:r>
    </w:p>
    <w:p w:rsidR="008A1F21" w:rsidRDefault="008A1F21" w:rsidP="00040D99">
      <w:pPr>
        <w:pStyle w:val="Default"/>
        <w:spacing w:line="360" w:lineRule="auto"/>
        <w:jc w:val="both"/>
        <w:rPr>
          <w:rFonts w:asciiTheme="minorHAnsi" w:hAnsiTheme="minorHAnsi" w:cs="Calibri"/>
        </w:rPr>
      </w:pPr>
      <w:r w:rsidRPr="005047BE">
        <w:rPr>
          <w:rFonts w:asciiTheme="minorHAnsi" w:hAnsiTheme="minorHAnsi" w:cs="Calibri"/>
        </w:rPr>
        <w:t xml:space="preserve">δ) Ενδεικτικός Προϋπολογισμός </w:t>
      </w:r>
    </w:p>
    <w:p w:rsidR="00036FEE" w:rsidRPr="005047BE" w:rsidRDefault="00036FEE" w:rsidP="00040D99">
      <w:pPr>
        <w:pStyle w:val="Default"/>
        <w:spacing w:line="360" w:lineRule="auto"/>
        <w:jc w:val="both"/>
        <w:rPr>
          <w:rFonts w:asciiTheme="minorHAnsi" w:hAnsiTheme="minorHAnsi" w:cs="Calibri"/>
        </w:rPr>
      </w:pPr>
    </w:p>
    <w:p w:rsidR="008A1F21" w:rsidRPr="005047BE" w:rsidRDefault="00040D99" w:rsidP="00040D99">
      <w:pPr>
        <w:pStyle w:val="Default"/>
        <w:spacing w:line="360" w:lineRule="auto"/>
        <w:jc w:val="both"/>
        <w:rPr>
          <w:rFonts w:asciiTheme="minorHAnsi" w:hAnsiTheme="minorHAnsi" w:cs="Calibri"/>
          <w:b/>
          <w:bCs/>
        </w:rPr>
      </w:pPr>
      <w:r>
        <w:rPr>
          <w:rFonts w:asciiTheme="minorHAnsi" w:hAnsiTheme="minorHAnsi" w:cs="Calibri"/>
        </w:rPr>
        <w:lastRenderedPageBreak/>
        <w:t xml:space="preserve"> </w:t>
      </w:r>
      <w:r w:rsidR="008A1F21" w:rsidRPr="005047BE">
        <w:rPr>
          <w:rFonts w:asciiTheme="minorHAnsi" w:hAnsiTheme="minorHAnsi" w:cs="Calibri"/>
          <w:b/>
          <w:bCs/>
        </w:rPr>
        <w:t xml:space="preserve">ΑΡΘΡΟ 4ο: Τιμές προσφορών </w:t>
      </w:r>
    </w:p>
    <w:p w:rsidR="008A1F21" w:rsidRPr="005047BE" w:rsidRDefault="008A1F21" w:rsidP="00040D99">
      <w:pPr>
        <w:spacing w:line="360" w:lineRule="auto"/>
        <w:jc w:val="both"/>
        <w:rPr>
          <w:rFonts w:asciiTheme="minorHAnsi" w:hAnsiTheme="minorHAnsi" w:cs="Calibri"/>
        </w:rPr>
      </w:pPr>
      <w:r w:rsidRPr="005047BE">
        <w:rPr>
          <w:rFonts w:asciiTheme="minorHAnsi" w:hAnsiTheme="minorHAnsi"/>
        </w:rPr>
        <w:t>Η οικονομική προσφορά για κάθε υποψήφιο προμηθευτή, ο οποίος θα αναλάβει τελικά να προμηθεύσε</w:t>
      </w:r>
      <w:r w:rsidR="00572610" w:rsidRPr="005047BE">
        <w:rPr>
          <w:rFonts w:asciiTheme="minorHAnsi" w:hAnsiTheme="minorHAnsi"/>
        </w:rPr>
        <w:t>ι και να εγκαταστήσει το σύνολο</w:t>
      </w:r>
      <w:r w:rsidRPr="005047BE">
        <w:rPr>
          <w:rFonts w:asciiTheme="minorHAnsi" w:hAnsiTheme="minorHAnsi"/>
        </w:rPr>
        <w:t xml:space="preserve"> των ειδών της παρούσας προμήθειας, θα αποτελεί αναπόσπαστο μέρος της σχετικής σύμβασης.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w:t>
      </w:r>
      <w:r w:rsidRPr="005047BE">
        <w:rPr>
          <w:rFonts w:asciiTheme="minorHAnsi" w:hAnsiTheme="minorHAnsi" w:cs="Calibri"/>
        </w:rPr>
        <w:t xml:space="preserve">πραγματοποίηση και της τελευταίας παράδοσης των προς προμήθεια ειδών, σύμφωνα με ότι προβλέπεται στην παρούσα μελέτη. Οποιαδήποτε αλλαγή από την πλευρά του προμηθευτή θα απορρίπτεται ως απαράδεκτη και αντίθετη στους όρους της σύμβασης. </w:t>
      </w:r>
    </w:p>
    <w:p w:rsidR="00C33DDD" w:rsidRDefault="008A1F21" w:rsidP="00040D99">
      <w:pPr>
        <w:tabs>
          <w:tab w:val="left" w:pos="720"/>
        </w:tabs>
        <w:autoSpaceDE w:val="0"/>
        <w:autoSpaceDN w:val="0"/>
        <w:adjustRightInd w:val="0"/>
        <w:spacing w:line="360" w:lineRule="auto"/>
        <w:ind w:left="20" w:firstLine="700"/>
        <w:jc w:val="both"/>
        <w:rPr>
          <w:rFonts w:ascii="Calibri" w:hAnsi="Calibri" w:cs="Calibri"/>
        </w:rPr>
      </w:pPr>
      <w:r w:rsidRPr="005047BE">
        <w:rPr>
          <w:rFonts w:asciiTheme="minorHAnsi" w:hAnsiTheme="minorHAnsi" w:cs="Calibri"/>
        </w:rPr>
        <w:t>Στην τιμή της προσφοράς θα περιλαμβάνεται η μεταφορά των προς προμήθεια υλικών στην τελική τους θέση και η ορθή εγκατάστασή τους με βάση τις ισχύουσες προδιαγραφές, στις θέσεις που υποδεικνύονται στην παρούσα μελέτη.</w:t>
      </w:r>
      <w:r w:rsidR="00C33DDD" w:rsidRPr="00C33DDD">
        <w:rPr>
          <w:rFonts w:ascii="Calibri" w:hAnsi="Calibri" w:cs="Calibri"/>
        </w:rPr>
        <w:t xml:space="preserve"> </w:t>
      </w:r>
      <w:r w:rsidR="00C33DDD">
        <w:rPr>
          <w:rFonts w:ascii="Calibri" w:hAnsi="Calibri" w:cs="Calibri"/>
        </w:rPr>
        <w:t>Στις δαπάνες   συμπεριλαμβάνονται και οι δαπάνες του συνόλου των απαραίτητων εργασιών για την πλήρη και ορθή εγκατάσταση των δαπέδων και των υπό προμήθ</w:t>
      </w:r>
      <w:r w:rsidR="00C33DDD" w:rsidRPr="00207A09">
        <w:rPr>
          <w:rFonts w:ascii="Calibri" w:hAnsi="Calibri" w:cs="Calibri"/>
        </w:rPr>
        <w:t xml:space="preserve">εια ειδών, ώστε οι χώροι που φιλοξενούν τις παιδικές χαρές να κρίνονται ασφαλείς και να τηρούν τους ισχύοντες κανονισμούς ασφαλείας ώστε να </w:t>
      </w:r>
      <w:r w:rsidR="00C33DDD">
        <w:rPr>
          <w:rFonts w:ascii="Calibri" w:hAnsi="Calibri" w:cs="Calibri"/>
        </w:rPr>
        <w:t>κριθούν κατάλληλοι προς λειτουργία και πιστοποίηση</w:t>
      </w:r>
      <w:r w:rsidR="00C33DDD" w:rsidRPr="00207A09">
        <w:rPr>
          <w:rFonts w:ascii="Calibri" w:hAnsi="Calibri" w:cs="Calibri"/>
        </w:rPr>
        <w:t>.</w:t>
      </w:r>
      <w:r w:rsidR="00C33DDD">
        <w:rPr>
          <w:rFonts w:ascii="Calibri" w:hAnsi="Calibri" w:cs="Calibri"/>
        </w:rPr>
        <w:t xml:space="preserve"> Επιπλέον στις αρμοδιότητες του αναδόχου συμπεριλαμβάνεται, παράλληλα με την τοποθέτηση των δαπέδων ασφαλείας και την κατασκευή των κατάλληλων </w:t>
      </w:r>
      <w:proofErr w:type="spellStart"/>
      <w:r w:rsidR="00C33DDD">
        <w:rPr>
          <w:rFonts w:ascii="Calibri" w:hAnsi="Calibri" w:cs="Calibri"/>
        </w:rPr>
        <w:t>υποβάσεων</w:t>
      </w:r>
      <w:proofErr w:type="spellEnd"/>
      <w:r w:rsidR="00C33DDD">
        <w:rPr>
          <w:rFonts w:ascii="Calibri" w:hAnsi="Calibri" w:cs="Calibri"/>
        </w:rPr>
        <w:t xml:space="preserve"> –όπου απαιτείται-, στους χώρους όπου περιμετρικά των δαπέδων ασφαλείας υπάρχει υφιστάμενο φυσικό έδαφος, η δ</w:t>
      </w:r>
      <w:r w:rsidR="00C33DDD" w:rsidRPr="00207A09">
        <w:rPr>
          <w:rFonts w:ascii="Calibri" w:hAnsi="Calibri" w:cs="Calibri"/>
        </w:rPr>
        <w:t xml:space="preserve">ιαμόρφωση/εξυγίανση </w:t>
      </w:r>
      <w:r w:rsidR="00C33DDD">
        <w:rPr>
          <w:rFonts w:ascii="Calibri" w:hAnsi="Calibri" w:cs="Calibri"/>
        </w:rPr>
        <w:t xml:space="preserve">του </w:t>
      </w:r>
      <w:r w:rsidR="00C33DDD" w:rsidRPr="00207A09">
        <w:rPr>
          <w:rFonts w:ascii="Calibri" w:hAnsi="Calibri" w:cs="Calibri"/>
        </w:rPr>
        <w:t>υφιστάμενου χώματος και</w:t>
      </w:r>
      <w:r w:rsidR="00C33DDD">
        <w:rPr>
          <w:rFonts w:ascii="Calibri" w:hAnsi="Calibri" w:cs="Calibri"/>
        </w:rPr>
        <w:t xml:space="preserve"> η</w:t>
      </w:r>
      <w:r w:rsidR="00C33DDD" w:rsidRPr="00207A09">
        <w:rPr>
          <w:rFonts w:ascii="Calibri" w:hAnsi="Calibri" w:cs="Calibri"/>
        </w:rPr>
        <w:t xml:space="preserve"> απομάκρυνση πετρών</w:t>
      </w:r>
      <w:r w:rsidR="00C33DDD">
        <w:rPr>
          <w:rFonts w:ascii="Calibri" w:hAnsi="Calibri" w:cs="Calibri"/>
        </w:rPr>
        <w:t>.</w:t>
      </w:r>
    </w:p>
    <w:p w:rsidR="00C33DDD" w:rsidRDefault="00C33DDD" w:rsidP="00040D99">
      <w:pPr>
        <w:tabs>
          <w:tab w:val="left" w:pos="720"/>
        </w:tabs>
        <w:autoSpaceDE w:val="0"/>
        <w:autoSpaceDN w:val="0"/>
        <w:adjustRightInd w:val="0"/>
        <w:spacing w:line="360" w:lineRule="auto"/>
        <w:jc w:val="both"/>
        <w:rPr>
          <w:rFonts w:ascii="Calibri" w:hAnsi="Calibri" w:cs="Calibri"/>
        </w:rPr>
      </w:pPr>
      <w:r>
        <w:rPr>
          <w:rFonts w:ascii="Calibri" w:hAnsi="Calibri" w:cs="Calibri"/>
        </w:rPr>
        <w:t xml:space="preserve">         Ο ανάδοχος οφείλει να προμηθεύσει και τοποθετήσει επιπλέον τις πινακίδες του προγράμματος ΦΙΛΟΔΗΜΟΣ, χωρίς επιπλέον οικονομική επιβάρυνση του Δήμου.</w:t>
      </w:r>
    </w:p>
    <w:p w:rsidR="00C33DDD" w:rsidRPr="005047BE" w:rsidRDefault="00C33DDD" w:rsidP="00040D99">
      <w:pPr>
        <w:spacing w:line="360" w:lineRule="auto"/>
        <w:jc w:val="both"/>
        <w:rPr>
          <w:rFonts w:asciiTheme="minorHAnsi" w:hAnsiTheme="minorHAnsi" w:cs="Calibri"/>
        </w:rPr>
      </w:pPr>
    </w:p>
    <w:p w:rsidR="008A1F21" w:rsidRDefault="008A1F21" w:rsidP="00040D99">
      <w:pPr>
        <w:spacing w:line="360" w:lineRule="auto"/>
        <w:rPr>
          <w:rFonts w:asciiTheme="minorHAnsi" w:hAnsiTheme="minorHAnsi" w:cs="Calibri"/>
          <w:b/>
          <w:bCs/>
        </w:rPr>
      </w:pPr>
      <w:r w:rsidRPr="005047BE">
        <w:rPr>
          <w:rFonts w:asciiTheme="minorHAnsi" w:hAnsiTheme="minorHAnsi" w:cs="Calibri"/>
          <w:b/>
          <w:bCs/>
        </w:rPr>
        <w:t xml:space="preserve">ΑΡΘΡΟ 5ο: Σύμβαση </w:t>
      </w:r>
    </w:p>
    <w:p w:rsidR="00C33DDD" w:rsidRPr="005047BE" w:rsidRDefault="00C33DDD" w:rsidP="00040D99">
      <w:pPr>
        <w:spacing w:line="360" w:lineRule="auto"/>
        <w:rPr>
          <w:rFonts w:asciiTheme="minorHAnsi" w:hAnsiTheme="minorHAnsi" w:cs="Calibri"/>
          <w:b/>
          <w:bCs/>
        </w:rPr>
      </w:pPr>
    </w:p>
    <w:p w:rsidR="008A1F21"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 xml:space="preserve">Μετά την επέλευση των έννομων αποτελεσμάτων της απόφασης κατακύρωσης,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C33DDD" w:rsidRPr="005047BE" w:rsidRDefault="00C33DDD" w:rsidP="00040D99">
      <w:pPr>
        <w:pStyle w:val="Default"/>
        <w:spacing w:line="360" w:lineRule="auto"/>
        <w:jc w:val="both"/>
        <w:rPr>
          <w:rFonts w:asciiTheme="minorHAnsi" w:hAnsiTheme="minorHAnsi" w:cs="Calibri"/>
          <w:color w:val="auto"/>
        </w:rPr>
      </w:pPr>
    </w:p>
    <w:p w:rsidR="008A1F21" w:rsidRPr="005047BE" w:rsidRDefault="008A1F21" w:rsidP="00040D99">
      <w:pPr>
        <w:pStyle w:val="Default"/>
        <w:spacing w:line="360" w:lineRule="auto"/>
        <w:jc w:val="both"/>
        <w:rPr>
          <w:rFonts w:asciiTheme="minorHAnsi" w:hAnsiTheme="minorHAnsi" w:cs="Calibri"/>
          <w:b/>
          <w:bCs/>
          <w:color w:val="auto"/>
        </w:rPr>
      </w:pPr>
      <w:r w:rsidRPr="005047BE">
        <w:rPr>
          <w:rFonts w:asciiTheme="minorHAnsi" w:hAnsiTheme="minorHAnsi" w:cs="Calibri"/>
          <w:b/>
          <w:bCs/>
          <w:color w:val="auto"/>
        </w:rPr>
        <w:lastRenderedPageBreak/>
        <w:t xml:space="preserve">ΑΡΘΡΟ 6ο: Πληρωμή - Φόροι - Τέλη – Κρατήσεις. </w:t>
      </w:r>
    </w:p>
    <w:p w:rsidR="008A1F21"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 xml:space="preserve">Η πληρωμή της αξίας των υλικών της παρούσης θα γίνει με εξόφληση του 100% της συμβατικής αξίας μετά την οριστική παραλαβή των υπό προμήθεια υλικών, σύμφωνα με το Ν.4412/2016, άρθρο 200 «Τρόπος πληρωμής – απαιτούμενα δικαιολογητικά για πληρωμή του Αναδόχου». </w:t>
      </w:r>
    </w:p>
    <w:p w:rsidR="00C33DDD" w:rsidRPr="005047BE" w:rsidRDefault="00C33DDD" w:rsidP="00040D99">
      <w:pPr>
        <w:pStyle w:val="Default"/>
        <w:spacing w:line="360" w:lineRule="auto"/>
        <w:jc w:val="both"/>
        <w:rPr>
          <w:rFonts w:asciiTheme="minorHAnsi" w:hAnsiTheme="minorHAnsi" w:cs="Calibri"/>
          <w:color w:val="auto"/>
        </w:rPr>
      </w:pPr>
    </w:p>
    <w:p w:rsidR="008A1F21" w:rsidRPr="005047BE" w:rsidRDefault="008A1F21" w:rsidP="00040D99">
      <w:pPr>
        <w:pStyle w:val="Default"/>
        <w:spacing w:line="360" w:lineRule="auto"/>
        <w:jc w:val="both"/>
        <w:rPr>
          <w:rFonts w:asciiTheme="minorHAnsi" w:hAnsiTheme="minorHAnsi" w:cs="Calibri"/>
          <w:b/>
          <w:bCs/>
          <w:color w:val="auto"/>
        </w:rPr>
      </w:pPr>
      <w:r w:rsidRPr="005047BE">
        <w:rPr>
          <w:rFonts w:asciiTheme="minorHAnsi" w:hAnsiTheme="minorHAnsi" w:cs="Calibri"/>
          <w:b/>
          <w:bCs/>
          <w:color w:val="auto"/>
        </w:rPr>
        <w:t xml:space="preserve">ΑΡΘΡΟ 7ο: Ιδιότητες και τεχνικές προδιαγραφές – Συνοδευτικά έγγραφα. </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Όλα τα είδη θα είναι κατασκευασμένα σύμφωνα με τα διεθνή πρότυπα ασφαλείας και σύμφωνα με τα όσα περιγράφονται στις τεχνικές προδιαγραφές της μελέτης</w:t>
      </w:r>
      <w:r w:rsidR="00C33DDD">
        <w:rPr>
          <w:rFonts w:asciiTheme="minorHAnsi" w:hAnsiTheme="minorHAnsi" w:cs="Calibri"/>
          <w:color w:val="auto"/>
        </w:rPr>
        <w:t xml:space="preserve"> 21/18 της Δ/νσης Τ.Υ. Δήμου </w:t>
      </w:r>
      <w:proofErr w:type="spellStart"/>
      <w:r w:rsidR="00C33DDD">
        <w:rPr>
          <w:rFonts w:asciiTheme="minorHAnsi" w:hAnsiTheme="minorHAnsi" w:cs="Calibri"/>
          <w:color w:val="auto"/>
        </w:rPr>
        <w:t>Μαραθώνος</w:t>
      </w:r>
      <w:proofErr w:type="spellEnd"/>
      <w:r w:rsidRPr="005047BE">
        <w:rPr>
          <w:rFonts w:asciiTheme="minorHAnsi" w:hAnsiTheme="minorHAnsi" w:cs="Calibri"/>
          <w:color w:val="auto"/>
        </w:rPr>
        <w:t xml:space="preserve">, θα είναι δε γνωστών και αναγνωρισμένων κατασκευαστικών οίκων, με καλή φήμη στην Ελλάδα και το εξωτερικό. </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Το σύνολο του εξοπλισ</w:t>
      </w:r>
      <w:r w:rsidR="00D264F6">
        <w:rPr>
          <w:rFonts w:asciiTheme="minorHAnsi" w:hAnsiTheme="minorHAnsi" w:cs="Calibri"/>
          <w:color w:val="auto"/>
        </w:rPr>
        <w:t>μού κάθε  Παιδικής Χαράς ( όργανα, δάπεδα, αστικός εξοπλισμός</w:t>
      </w:r>
      <w:r w:rsidRPr="005047BE">
        <w:rPr>
          <w:rFonts w:asciiTheme="minorHAnsi" w:hAnsiTheme="minorHAnsi" w:cs="Calibri"/>
          <w:color w:val="auto"/>
        </w:rPr>
        <w:t>) θα πρέπει να πληροί τις προδιαγραφές και να φέρει τις απαιτούμενες πιστοποιήσει</w:t>
      </w:r>
      <w:r w:rsidR="00745E9E">
        <w:rPr>
          <w:rFonts w:asciiTheme="minorHAnsi" w:hAnsiTheme="minorHAnsi" w:cs="Calibri"/>
          <w:color w:val="auto"/>
        </w:rPr>
        <w:t xml:space="preserve">ς όπως αναφέρονται στην </w:t>
      </w:r>
      <w:r w:rsidRPr="005047BE">
        <w:rPr>
          <w:rFonts w:asciiTheme="minorHAnsi" w:hAnsiTheme="minorHAnsi" w:cs="Calibri"/>
          <w:color w:val="auto"/>
        </w:rPr>
        <w:t xml:space="preserve">μελέτη </w:t>
      </w:r>
      <w:r w:rsidR="00745E9E">
        <w:rPr>
          <w:rFonts w:asciiTheme="minorHAnsi" w:hAnsiTheme="minorHAnsi" w:cs="Calibri"/>
          <w:color w:val="auto"/>
        </w:rPr>
        <w:t>21/18 της Δ/νσης Τ.Υ.</w:t>
      </w:r>
      <w:r w:rsidRPr="005047BE">
        <w:rPr>
          <w:rFonts w:asciiTheme="minorHAnsi" w:hAnsiTheme="minorHAnsi" w:cs="Calibri"/>
          <w:color w:val="auto"/>
        </w:rPr>
        <w:t xml:space="preserve"> Κάθε όργανο θα φέρει πληροφοριακή πινακίδα σύμφωνα με την ισχύουσα νομοθεσία.</w:t>
      </w:r>
    </w:p>
    <w:p w:rsidR="008A1F21" w:rsidRPr="00D264F6"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 xml:space="preserve">Όλα τα είδη θα συνοδεύονται με όλα τα απαραίτητα έγγραφα και δικαιολογητικά που θα αποδεικνύουν την προέλευση, τα κατασκευαστικά πρότυπα (Ελληνικά και Ευρωπαϊκά) και ό,τι άλλο αποδεικνύει την γνησιότητα και την ποιότητα κατασκευής που θα διασφαλίζει την ομαλή και ασφαλή λειτουργία </w:t>
      </w:r>
      <w:r w:rsidR="00D264F6">
        <w:rPr>
          <w:rFonts w:asciiTheme="minorHAnsi" w:hAnsiTheme="minorHAnsi" w:cs="Calibri"/>
          <w:color w:val="auto"/>
        </w:rPr>
        <w:t xml:space="preserve">τους σύμφωνα με τις απαιτήσεις της μελέτης. </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 xml:space="preserve">-Όλα τα έγγραφα και δικαιολογητικά θα πρέπει να είναι στην Ελληνική γλώσσα. Εάν τα δικαιολογητικά είναι σε άλλη γλώσσα πλην της Ελληνικής, τότε θα συνοδεύονται από επίσημη μετάφραση στην Ελληνική. </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-Ενημερωτικά και τεχνικά φυλλάδια και άλλα έντυπα -εταιρικά ή μη- με ειδικό τεχνικό περιεχόμενο (</w:t>
      </w:r>
      <w:proofErr w:type="spellStart"/>
      <w:r w:rsidRPr="005047BE">
        <w:rPr>
          <w:rFonts w:asciiTheme="minorHAnsi" w:hAnsiTheme="minorHAnsi" w:cs="Calibri"/>
          <w:color w:val="auto"/>
        </w:rPr>
        <w:t>prospectus</w:t>
      </w:r>
      <w:proofErr w:type="spellEnd"/>
      <w:r w:rsidRPr="005047BE">
        <w:rPr>
          <w:rFonts w:asciiTheme="minorHAnsi" w:hAnsiTheme="minorHAnsi" w:cs="Calibri"/>
          <w:color w:val="auto"/>
        </w:rPr>
        <w:t xml:space="preserve">) μπορούν να υποβάλλονται στην Αγγλική Γλώσσα, χωρίς να συνοδεύονται από επίσημη μετάφραση στην ελληνική. </w:t>
      </w:r>
    </w:p>
    <w:p w:rsidR="008A1F21" w:rsidRPr="005047BE" w:rsidRDefault="008A1F21" w:rsidP="00040D99">
      <w:pPr>
        <w:pStyle w:val="Default"/>
        <w:spacing w:line="360" w:lineRule="auto"/>
        <w:jc w:val="both"/>
        <w:rPr>
          <w:rFonts w:asciiTheme="minorHAnsi" w:hAnsiTheme="minorHAnsi" w:cs="Calibri"/>
          <w:b/>
          <w:bCs/>
          <w:color w:val="auto"/>
        </w:rPr>
      </w:pPr>
      <w:r w:rsidRPr="005047BE">
        <w:rPr>
          <w:rFonts w:asciiTheme="minorHAnsi" w:hAnsiTheme="minorHAnsi" w:cs="Calibri"/>
          <w:b/>
          <w:bCs/>
          <w:color w:val="auto"/>
        </w:rPr>
        <w:t xml:space="preserve">Ουσιώδεις απαιτήσεις </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 xml:space="preserve">Γενικά όλες οι παραπάνω απαιτήσεις θεωρούνται και ουσιώδεις και απαράβατες εκτός εάν αναφέρεται ρητά ότι αποτελούν προτίμηση ή επιθυμία της υπηρεσίας. </w:t>
      </w:r>
    </w:p>
    <w:p w:rsidR="008A1F21" w:rsidRPr="005047BE" w:rsidRDefault="008A1F21" w:rsidP="00040D99">
      <w:pPr>
        <w:pStyle w:val="Default"/>
        <w:spacing w:line="360" w:lineRule="auto"/>
        <w:jc w:val="both"/>
        <w:rPr>
          <w:rFonts w:asciiTheme="minorHAnsi" w:hAnsiTheme="minorHAnsi" w:cs="Calibri"/>
          <w:color w:val="auto"/>
        </w:rPr>
      </w:pPr>
    </w:p>
    <w:p w:rsidR="008A1F21" w:rsidRPr="005047BE" w:rsidRDefault="008A1F21" w:rsidP="00040D99">
      <w:pPr>
        <w:pStyle w:val="Default"/>
        <w:spacing w:line="360" w:lineRule="auto"/>
        <w:jc w:val="both"/>
        <w:rPr>
          <w:rFonts w:asciiTheme="minorHAnsi" w:hAnsiTheme="minorHAnsi" w:cs="Calibri"/>
          <w:b/>
          <w:bCs/>
          <w:color w:val="auto"/>
        </w:rPr>
      </w:pPr>
      <w:r w:rsidRPr="005047BE">
        <w:rPr>
          <w:rFonts w:asciiTheme="minorHAnsi" w:hAnsiTheme="minorHAnsi" w:cs="Calibri"/>
          <w:b/>
          <w:bCs/>
          <w:color w:val="auto"/>
        </w:rPr>
        <w:t xml:space="preserve">ΑΡΘΡΟ 8ο: Ποινικές ρήτρες για εκπρόθεσμη παράδοση. </w:t>
      </w:r>
    </w:p>
    <w:p w:rsidR="008A1F21" w:rsidRPr="005047BE" w:rsidRDefault="008A1F21" w:rsidP="00040D99">
      <w:pPr>
        <w:spacing w:line="360" w:lineRule="auto"/>
        <w:jc w:val="both"/>
        <w:rPr>
          <w:rFonts w:asciiTheme="minorHAnsi" w:hAnsiTheme="minorHAnsi" w:cs="Calibri"/>
          <w:i/>
          <w:iCs/>
        </w:rPr>
      </w:pPr>
      <w:r w:rsidRPr="005047BE">
        <w:rPr>
          <w:rFonts w:asciiTheme="minorHAnsi" w:hAnsiTheme="minorHAnsi" w:cs="Calibri"/>
        </w:rPr>
        <w:lastRenderedPageBreak/>
        <w:t xml:space="preserve">Σε περίπτωση που το υλικό παραδοθεί ή αντικατασταθεί μετά τη λήξη του συμβατικού χρόνου και μέχρι λήξης του χρόνου παράτασης που χορηγήθηκε, επιβάλλεται πρόστιμο 5% επί της συμβατικής αξίας της ποσότητας που παραδόθηκε εκπρόθεσμα. </w:t>
      </w:r>
      <w:r w:rsidRPr="005047BE">
        <w:rPr>
          <w:rFonts w:asciiTheme="minorHAnsi" w:hAnsiTheme="minorHAnsi" w:cs="Calibri"/>
          <w:i/>
          <w:iCs/>
        </w:rPr>
        <w:t xml:space="preserve"> </w:t>
      </w:r>
    </w:p>
    <w:p w:rsidR="008A1F21" w:rsidRPr="005047BE" w:rsidRDefault="008A1F21" w:rsidP="00040D99">
      <w:pPr>
        <w:spacing w:line="360" w:lineRule="auto"/>
        <w:jc w:val="both"/>
        <w:rPr>
          <w:rFonts w:asciiTheme="minorHAnsi" w:hAnsiTheme="minorHAnsi" w:cs="Calibri"/>
        </w:rPr>
      </w:pPr>
      <w:r w:rsidRPr="005047BE">
        <w:rPr>
          <w:rFonts w:asciiTheme="minorHAnsi" w:hAnsiTheme="minorHAnsi" w:cs="Calibri"/>
        </w:rPr>
        <w:t xml:space="preserve">Το παραπάνω πρόστιμο υπολογίζεται επί της συμβατικής αξίας των εκπρόθεσμα παραδοθέντων υλικών, χωρίς ΦΠΑ. Εάν τα υλικά που θα παραδοθούν εκπρόθεσμα επηρεάζουν τη χρησιμοποίηση των υλικών που παραδίδονται εμπρόθεσμα, το πρόστιμο υπολογίζεται επί της συμβατικής αξίας της συνολικής ποσότητας αυτών. </w:t>
      </w:r>
    </w:p>
    <w:p w:rsidR="008A1F21" w:rsidRPr="005047BE" w:rsidRDefault="008A1F21" w:rsidP="00040D99">
      <w:pPr>
        <w:spacing w:line="360" w:lineRule="auto"/>
        <w:jc w:val="both"/>
        <w:rPr>
          <w:rFonts w:asciiTheme="minorHAnsi" w:hAnsiTheme="minorHAnsi" w:cs="Calibri"/>
        </w:rPr>
      </w:pPr>
      <w:r w:rsidRPr="005047BE">
        <w:rPr>
          <w:rFonts w:asciiTheme="minorHAnsi" w:hAnsiTheme="minorHAnsi" w:cs="Calibri"/>
        </w:rPr>
        <w:t xml:space="preserve">Η είσπραξη του προστίμου γίνεται με παρακράτηση από το ποσό πληρωμής του προμηθευτή. </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 xml:space="preserve">Σε περίπτωση ένωσης προμηθευτών, το πρόστιμο επιβάλλεται αναλόγως σε όλα τα μέλη της ένωσης. </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 xml:space="preserve">Κατά τον υπολογισμό του χρονικού διαστήματος της καθυστέρησης για φόρτωση-παράδοση ή αντικατάσταση των υλικών, με απόφαση της Οικονομικής Επιτροπής, ύστερα από γνωμοδότηση του αρμοδίου οργάνου, δε λαμβάνεται υπόψη ο χρόνος που παρήλθε κατά τα διάφορα στάδια των διαδικασιών, για το οποίο δεν ευθύνεται ο προμηθευτής και παρατείνεται αντίστοιχα ο χρόνος φόρτωσης - παράδοσης. </w:t>
      </w:r>
    </w:p>
    <w:p w:rsidR="008A1F21" w:rsidRPr="005047BE" w:rsidRDefault="008A1F21" w:rsidP="00040D99">
      <w:pPr>
        <w:pStyle w:val="Default"/>
        <w:spacing w:line="360" w:lineRule="auto"/>
        <w:jc w:val="both"/>
        <w:rPr>
          <w:rFonts w:asciiTheme="minorHAnsi" w:hAnsiTheme="minorHAnsi" w:cs="Calibri"/>
          <w:b/>
          <w:bCs/>
          <w:color w:val="auto"/>
        </w:rPr>
      </w:pPr>
    </w:p>
    <w:p w:rsidR="008A1F21" w:rsidRPr="005047BE" w:rsidRDefault="008A1F21" w:rsidP="00040D99">
      <w:pPr>
        <w:pStyle w:val="Default"/>
        <w:spacing w:line="360" w:lineRule="auto"/>
        <w:jc w:val="both"/>
        <w:rPr>
          <w:rFonts w:asciiTheme="minorHAnsi" w:hAnsiTheme="minorHAnsi" w:cs="Calibri"/>
          <w:b/>
          <w:bCs/>
          <w:color w:val="auto"/>
        </w:rPr>
      </w:pPr>
      <w:r w:rsidRPr="005047BE">
        <w:rPr>
          <w:rFonts w:asciiTheme="minorHAnsi" w:hAnsiTheme="minorHAnsi" w:cs="Calibri"/>
          <w:b/>
          <w:bCs/>
          <w:color w:val="auto"/>
        </w:rPr>
        <w:t xml:space="preserve">ΑΡΘΡΟ 9ο: Συμβατική προθεσμία. </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Ο χρόνος παράδοσης των υπό προμήθεια υλικών ορίζεται σε έξι (6) μήνες από την υπογραφή της σύμβασης.</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 xml:space="preserve">Τα προς προμήθεια είδη θα παραδοθούν και θα εγκατασταθούν στην τελική τους θέση στις θέσεις που υποδεικνύονται στην μελέτη και σε πλήρη λειτουργία. </w:t>
      </w:r>
    </w:p>
    <w:p w:rsidR="008A1F21" w:rsidRPr="005047BE" w:rsidRDefault="008A1F21" w:rsidP="00040D99">
      <w:pPr>
        <w:pStyle w:val="Default"/>
        <w:spacing w:line="360" w:lineRule="auto"/>
        <w:jc w:val="both"/>
        <w:rPr>
          <w:rFonts w:asciiTheme="minorHAnsi" w:hAnsiTheme="minorHAnsi" w:cs="Calibri"/>
          <w:b/>
          <w:bCs/>
          <w:color w:val="auto"/>
        </w:rPr>
      </w:pPr>
    </w:p>
    <w:p w:rsidR="008A1F21" w:rsidRPr="005047BE" w:rsidRDefault="008A1F21" w:rsidP="00040D99">
      <w:pPr>
        <w:pStyle w:val="Default"/>
        <w:spacing w:line="360" w:lineRule="auto"/>
        <w:jc w:val="both"/>
        <w:rPr>
          <w:rFonts w:asciiTheme="minorHAnsi" w:hAnsiTheme="minorHAnsi" w:cs="Calibri"/>
          <w:b/>
          <w:bCs/>
          <w:color w:val="auto"/>
        </w:rPr>
      </w:pPr>
      <w:r w:rsidRPr="005047BE">
        <w:rPr>
          <w:rFonts w:asciiTheme="minorHAnsi" w:hAnsiTheme="minorHAnsi" w:cs="Calibri"/>
          <w:b/>
          <w:bCs/>
          <w:color w:val="auto"/>
        </w:rPr>
        <w:t xml:space="preserve">ΑΡΘΡΟ 10ο: Φόροι – τέλη – κρατήσεις </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 xml:space="preserve">Ο Ανάδοχος επιβαρύνεται με όλους τους φόρους, τα τέλη και τις κρατήσεις που ισχύουν κατά τις ημέρες διενέργειας του διαγωνισμού. </w:t>
      </w:r>
    </w:p>
    <w:p w:rsidR="008A1F21" w:rsidRPr="005047BE" w:rsidRDefault="008A1F21" w:rsidP="00040D99">
      <w:pPr>
        <w:pStyle w:val="Default"/>
        <w:spacing w:line="360" w:lineRule="auto"/>
        <w:jc w:val="both"/>
        <w:rPr>
          <w:rFonts w:asciiTheme="minorHAnsi" w:hAnsiTheme="minorHAnsi" w:cs="Calibri"/>
          <w:b/>
          <w:bCs/>
          <w:color w:val="auto"/>
        </w:rPr>
      </w:pPr>
    </w:p>
    <w:p w:rsidR="008A1F21" w:rsidRPr="005047BE" w:rsidRDefault="008A1F21" w:rsidP="00040D99">
      <w:pPr>
        <w:pStyle w:val="Default"/>
        <w:spacing w:line="360" w:lineRule="auto"/>
        <w:jc w:val="both"/>
        <w:rPr>
          <w:rFonts w:asciiTheme="minorHAnsi" w:hAnsiTheme="minorHAnsi" w:cs="Calibri"/>
          <w:b/>
          <w:bCs/>
          <w:color w:val="auto"/>
        </w:rPr>
      </w:pPr>
      <w:r w:rsidRPr="005047BE">
        <w:rPr>
          <w:rFonts w:asciiTheme="minorHAnsi" w:hAnsiTheme="minorHAnsi" w:cs="Calibri"/>
          <w:b/>
          <w:bCs/>
          <w:color w:val="auto"/>
        </w:rPr>
        <w:t xml:space="preserve">ΑΡΘΡΟ 11ο : Παραλαβή των προς προμήθεια ειδών. </w:t>
      </w:r>
    </w:p>
    <w:p w:rsidR="008A1F21" w:rsidRPr="005047BE" w:rsidRDefault="008A1F21" w:rsidP="00040D99">
      <w:pPr>
        <w:pStyle w:val="Default"/>
        <w:spacing w:line="360" w:lineRule="auto"/>
        <w:jc w:val="both"/>
        <w:rPr>
          <w:rFonts w:asciiTheme="minorHAnsi" w:hAnsiTheme="minorHAnsi" w:cs="Calibri"/>
          <w:color w:val="auto"/>
        </w:rPr>
      </w:pPr>
      <w:r w:rsidRPr="005047BE">
        <w:rPr>
          <w:rFonts w:asciiTheme="minorHAnsi" w:hAnsiTheme="minorHAnsi" w:cs="Calibri"/>
          <w:color w:val="auto"/>
        </w:rPr>
        <w:t xml:space="preserve">Η παραλαβή των υλικών, η διαδικασία παραλαβής αυτών και η συγκρότηση της επιτροπής παραλαβής, γίνεται σύμφωνα με όσα καθορίζονται στο άρθρο 208 του Ν.4412/2016. Εφόσον ο προμηθευτής δεν ειδοποιήσει έγκαιρα το Δήμο για την </w:t>
      </w:r>
      <w:r w:rsidRPr="005047BE">
        <w:rPr>
          <w:rFonts w:asciiTheme="minorHAnsi" w:hAnsiTheme="minorHAnsi" w:cs="Calibri"/>
          <w:color w:val="auto"/>
        </w:rPr>
        <w:lastRenderedPageBreak/>
        <w:t xml:space="preserve">ημερομηνία που προτίθεται να παραδώσει το υλικό, τουλάχιστον πέντε (5) εργάσιμες ημέρες νωρίτερα, ο συμβατικός χρόνος παραλαβής αρχίζει από την ημερομηνία που η επιτροπή παραλαβής είναι σε θέση να προβεί στη διαδικασία παραλαβής. </w:t>
      </w:r>
    </w:p>
    <w:p w:rsidR="00942474" w:rsidRPr="00BF32CB" w:rsidRDefault="008A1F21" w:rsidP="00040D99">
      <w:pPr>
        <w:spacing w:line="360" w:lineRule="auto"/>
      </w:pPr>
      <w:r w:rsidRPr="005047BE">
        <w:rPr>
          <w:rFonts w:asciiTheme="minorHAnsi" w:hAnsiTheme="minorHAnsi" w:cs="Calibri"/>
        </w:rPr>
        <w:t>Η παράδοση των ειδών θα γίνει με την πλήρη εγκατάστασή τους και στα ακριβή σημεία που θα υποδειχθούν από την Αναθέτουσα Αρχή</w:t>
      </w:r>
      <w:r w:rsidR="00942474">
        <w:rPr>
          <w:rFonts w:asciiTheme="minorHAnsi" w:hAnsiTheme="minorHAnsi" w:cs="Calibri"/>
        </w:rPr>
        <w:t xml:space="preserve"> στους χώρους που ορίζονται από την μελέτη 21/18 της Δ/νσης Τ.Υ.</w:t>
      </w:r>
      <w:r w:rsidRPr="005047BE">
        <w:rPr>
          <w:rFonts w:asciiTheme="minorHAnsi" w:hAnsiTheme="minorHAnsi" w:cs="Calibri"/>
        </w:rPr>
        <w:t xml:space="preserve">. </w:t>
      </w:r>
      <w:r w:rsidR="00942474" w:rsidRPr="00BF32CB">
        <w:t>Η οριστική παραλαβή θα γίνει μετά την ολοκλήρωση του ποιοτικού ελέγχου στον οποίο θα υποβληθούν τα είδη από την αρμόδια Επιτροπή Παραλαβής, με βάση τα παρακάτω στοιχεία:</w:t>
      </w:r>
    </w:p>
    <w:p w:rsidR="00942474" w:rsidRPr="00BF32CB" w:rsidRDefault="00942474" w:rsidP="00040D99">
      <w:pPr>
        <w:spacing w:line="360" w:lineRule="auto"/>
      </w:pPr>
      <w:r w:rsidRPr="00BF32CB">
        <w:t>•</w:t>
      </w:r>
      <w:r w:rsidRPr="00BF32CB">
        <w:tab/>
        <w:t xml:space="preserve"> τη σύμβαση</w:t>
      </w:r>
    </w:p>
    <w:p w:rsidR="00942474" w:rsidRPr="00BF32CB" w:rsidRDefault="00942474" w:rsidP="00040D99">
      <w:pPr>
        <w:spacing w:line="360" w:lineRule="auto"/>
      </w:pPr>
      <w:r w:rsidRPr="00BF32CB">
        <w:t>•</w:t>
      </w:r>
      <w:r w:rsidRPr="00BF32CB">
        <w:tab/>
        <w:t xml:space="preserve"> τη τεχνική προσφορά του αναδόχου</w:t>
      </w:r>
    </w:p>
    <w:p w:rsidR="00942474" w:rsidRDefault="00942474" w:rsidP="00040D99">
      <w:pPr>
        <w:spacing w:line="360" w:lineRule="auto"/>
      </w:pPr>
      <w:r w:rsidRPr="00BF32CB">
        <w:t>•</w:t>
      </w:r>
      <w:r w:rsidRPr="00BF32CB">
        <w:tab/>
        <w:t xml:space="preserve"> τα φυλλάδια (</w:t>
      </w:r>
      <w:proofErr w:type="spellStart"/>
      <w:r w:rsidRPr="00BF32CB">
        <w:t>prospectus</w:t>
      </w:r>
      <w:proofErr w:type="spellEnd"/>
      <w:r w:rsidRPr="00BF32CB">
        <w:t>) των ειδών προμήθειας που κατακυρώθηκαν</w:t>
      </w:r>
    </w:p>
    <w:p w:rsidR="00942474" w:rsidRPr="008735A1" w:rsidRDefault="00942474" w:rsidP="00040D99">
      <w:pPr>
        <w:spacing w:line="360" w:lineRule="auto"/>
      </w:pPr>
      <w:r w:rsidRPr="008735A1">
        <w:t xml:space="preserve">Ο ποιοτικός έλεγχος των υλικών γίνεται με τους ακόλουθους τρόπους: </w:t>
      </w:r>
    </w:p>
    <w:p w:rsidR="00942474" w:rsidRPr="008B6843" w:rsidRDefault="00942474" w:rsidP="00040D99">
      <w:pPr>
        <w:spacing w:line="360" w:lineRule="auto"/>
      </w:pPr>
      <w:r w:rsidRPr="008B6843">
        <w:t xml:space="preserve">1_ μακροσκοπικός έλεγχος </w:t>
      </w:r>
    </w:p>
    <w:p w:rsidR="00942474" w:rsidRPr="00851C3B" w:rsidRDefault="00942474" w:rsidP="00040D99">
      <w:pPr>
        <w:spacing w:line="360" w:lineRule="auto"/>
      </w:pPr>
      <w:r w:rsidRPr="008B6843">
        <w:t xml:space="preserve">2_ πρακτική δοκιμασία </w:t>
      </w:r>
    </w:p>
    <w:p w:rsidR="00942474" w:rsidRPr="00BF32CB" w:rsidRDefault="00942474" w:rsidP="00040D99">
      <w:pPr>
        <w:spacing w:line="360" w:lineRule="auto"/>
      </w:pPr>
      <w:r w:rsidRPr="00BF32CB">
        <w:t>Το κόστος της διενέργειας των ελέγχων βαρύνει τον ανάδοχο.</w:t>
      </w:r>
    </w:p>
    <w:p w:rsidR="00942474" w:rsidRDefault="00942474" w:rsidP="00040D99">
      <w:pPr>
        <w:spacing w:line="360" w:lineRule="auto"/>
      </w:pPr>
      <w:r w:rsidRPr="00BF32CB">
        <w:t>Τα προς προμήθεια είδη θα παραδοθούν εγκατεστημένα και σε πλήρη λειτουργία.</w:t>
      </w:r>
    </w:p>
    <w:p w:rsidR="00942474" w:rsidRPr="00BF32CB" w:rsidRDefault="00942474" w:rsidP="00040D99">
      <w:pPr>
        <w:spacing w:line="360" w:lineRule="auto"/>
      </w:pPr>
      <w:r w:rsidRPr="008B6843">
        <w:rPr>
          <w:b/>
          <w:bCs/>
        </w:rPr>
        <w:t xml:space="preserve">Επίσης, υποχρέωση του Αναδόχου </w:t>
      </w:r>
      <w:r>
        <w:rPr>
          <w:b/>
          <w:bCs/>
        </w:rPr>
        <w:t xml:space="preserve">κατά την παραλαβή </w:t>
      </w:r>
      <w:r w:rsidRPr="008B6843">
        <w:rPr>
          <w:b/>
          <w:bCs/>
        </w:rPr>
        <w:t xml:space="preserve">αποτελεί η κατασκευή και εγκατάσταση </w:t>
      </w:r>
      <w:r>
        <w:rPr>
          <w:b/>
          <w:bCs/>
        </w:rPr>
        <w:t xml:space="preserve"> </w:t>
      </w:r>
      <w:r w:rsidRPr="008B6843">
        <w:rPr>
          <w:b/>
          <w:bCs/>
        </w:rPr>
        <w:t xml:space="preserve"> πληροφοριακών πινακίδων για το Χρημα</w:t>
      </w:r>
      <w:r>
        <w:rPr>
          <w:b/>
          <w:bCs/>
        </w:rPr>
        <w:t>τοδοτικό Πρόγραμμα</w:t>
      </w:r>
      <w:r w:rsidRPr="008B6843">
        <w:rPr>
          <w:b/>
          <w:bCs/>
        </w:rPr>
        <w:t>, σύμφωνα με τις υποδείξεις της Αναθέτουσας Αρχής.</w:t>
      </w:r>
    </w:p>
    <w:p w:rsidR="008A1F21" w:rsidRPr="005047BE" w:rsidRDefault="008A1F21" w:rsidP="00040D99">
      <w:pPr>
        <w:widowControl w:val="0"/>
        <w:autoSpaceDE w:val="0"/>
        <w:autoSpaceDN w:val="0"/>
        <w:adjustRightInd w:val="0"/>
        <w:spacing w:after="160" w:line="360" w:lineRule="auto"/>
        <w:jc w:val="both"/>
        <w:rPr>
          <w:rFonts w:asciiTheme="minorHAnsi" w:hAnsiTheme="minorHAnsi" w:cs="Calibri"/>
          <w:b/>
          <w:bCs/>
        </w:rPr>
      </w:pPr>
    </w:p>
    <w:tbl>
      <w:tblPr>
        <w:tblpPr w:leftFromText="180" w:rightFromText="180" w:vertAnchor="text" w:horzAnchor="margin" w:tblpY="671"/>
        <w:tblW w:w="9828" w:type="dxa"/>
        <w:tblLayout w:type="fixed"/>
        <w:tblLook w:val="0000" w:firstRow="0" w:lastRow="0" w:firstColumn="0" w:lastColumn="0" w:noHBand="0" w:noVBand="0"/>
      </w:tblPr>
      <w:tblGrid>
        <w:gridCol w:w="3708"/>
        <w:gridCol w:w="2232"/>
        <w:gridCol w:w="3888"/>
      </w:tblGrid>
      <w:tr w:rsidR="008A1F21" w:rsidRPr="005047BE" w:rsidTr="00616F19">
        <w:trPr>
          <w:trHeight w:val="1275"/>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8A1F21" w:rsidRPr="005047BE" w:rsidRDefault="008A1F21" w:rsidP="00040D99">
            <w:pPr>
              <w:widowControl w:val="0"/>
              <w:autoSpaceDE w:val="0"/>
              <w:autoSpaceDN w:val="0"/>
              <w:adjustRightInd w:val="0"/>
              <w:spacing w:line="360" w:lineRule="auto"/>
              <w:rPr>
                <w:rFonts w:asciiTheme="minorHAnsi" w:hAnsiTheme="minorHAnsi" w:cs="Calibri"/>
                <w:b/>
                <w:bCs/>
              </w:rPr>
            </w:pPr>
          </w:p>
          <w:p w:rsidR="008A1F21" w:rsidRPr="005047BE" w:rsidRDefault="008A1F21" w:rsidP="00040D99">
            <w:pPr>
              <w:widowControl w:val="0"/>
              <w:autoSpaceDE w:val="0"/>
              <w:autoSpaceDN w:val="0"/>
              <w:adjustRightInd w:val="0"/>
              <w:spacing w:line="360" w:lineRule="auto"/>
              <w:jc w:val="center"/>
              <w:rPr>
                <w:rFonts w:asciiTheme="minorHAnsi" w:hAnsiTheme="minorHAnsi" w:cs="Calibri"/>
                <w:b/>
                <w:bCs/>
              </w:rPr>
            </w:pPr>
            <w:r w:rsidRPr="005047BE">
              <w:rPr>
                <w:rFonts w:asciiTheme="minorHAnsi" w:hAnsiTheme="minorHAnsi" w:cs="Calibri"/>
                <w:b/>
                <w:bCs/>
              </w:rPr>
              <w:t xml:space="preserve">Νέα Μάκρη  </w:t>
            </w:r>
          </w:p>
          <w:p w:rsidR="008A1F21" w:rsidRPr="005047BE" w:rsidRDefault="008A1F21" w:rsidP="00040D99">
            <w:pPr>
              <w:widowControl w:val="0"/>
              <w:autoSpaceDE w:val="0"/>
              <w:autoSpaceDN w:val="0"/>
              <w:adjustRightInd w:val="0"/>
              <w:spacing w:line="360" w:lineRule="auto"/>
              <w:jc w:val="center"/>
              <w:rPr>
                <w:rFonts w:asciiTheme="minorHAnsi" w:hAnsiTheme="minorHAnsi" w:cs="Calibri"/>
              </w:rPr>
            </w:pPr>
            <w:r w:rsidRPr="005047BE">
              <w:rPr>
                <w:rFonts w:asciiTheme="minorHAnsi" w:hAnsiTheme="minorHAnsi" w:cs="Calibri"/>
                <w:b/>
                <w:bCs/>
              </w:rPr>
              <w:t>Η ΣΥΝΤΑΞΑΣΑ</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8A1F21" w:rsidRPr="005047BE" w:rsidRDefault="008A1F21" w:rsidP="00040D99">
            <w:pPr>
              <w:widowControl w:val="0"/>
              <w:autoSpaceDE w:val="0"/>
              <w:autoSpaceDN w:val="0"/>
              <w:adjustRightInd w:val="0"/>
              <w:spacing w:line="360" w:lineRule="auto"/>
              <w:jc w:val="both"/>
              <w:rPr>
                <w:rFonts w:asciiTheme="minorHAnsi" w:hAnsiTheme="minorHAnsi" w:cs="Calibri"/>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8A1F21" w:rsidRPr="005047BE" w:rsidRDefault="008A1F21" w:rsidP="00040D99">
            <w:pPr>
              <w:widowControl w:val="0"/>
              <w:autoSpaceDE w:val="0"/>
              <w:autoSpaceDN w:val="0"/>
              <w:adjustRightInd w:val="0"/>
              <w:spacing w:line="360" w:lineRule="auto"/>
              <w:rPr>
                <w:rFonts w:asciiTheme="minorHAnsi" w:hAnsiTheme="minorHAnsi" w:cs="Calibri"/>
                <w:b/>
                <w:bCs/>
              </w:rPr>
            </w:pPr>
          </w:p>
          <w:p w:rsidR="008A1F21" w:rsidRPr="005047BE" w:rsidRDefault="008A1F21" w:rsidP="00040D99">
            <w:pPr>
              <w:widowControl w:val="0"/>
              <w:autoSpaceDE w:val="0"/>
              <w:autoSpaceDN w:val="0"/>
              <w:adjustRightInd w:val="0"/>
              <w:spacing w:line="360" w:lineRule="auto"/>
              <w:jc w:val="center"/>
              <w:rPr>
                <w:rFonts w:asciiTheme="minorHAnsi" w:hAnsiTheme="minorHAnsi" w:cs="Calibri"/>
                <w:b/>
                <w:bCs/>
              </w:rPr>
            </w:pPr>
            <w:r w:rsidRPr="005047BE">
              <w:rPr>
                <w:rFonts w:asciiTheme="minorHAnsi" w:hAnsiTheme="minorHAnsi" w:cs="Calibri"/>
                <w:b/>
                <w:bCs/>
              </w:rPr>
              <w:t xml:space="preserve">Νέα Μάκρη  </w:t>
            </w:r>
          </w:p>
          <w:p w:rsidR="008A1F21" w:rsidRPr="005047BE" w:rsidRDefault="008A1F21" w:rsidP="00040D99">
            <w:pPr>
              <w:widowControl w:val="0"/>
              <w:autoSpaceDE w:val="0"/>
              <w:autoSpaceDN w:val="0"/>
              <w:adjustRightInd w:val="0"/>
              <w:spacing w:line="360" w:lineRule="auto"/>
              <w:jc w:val="center"/>
              <w:rPr>
                <w:rFonts w:asciiTheme="minorHAnsi" w:hAnsiTheme="minorHAnsi" w:cs="Calibri"/>
                <w:b/>
                <w:bCs/>
                <w:sz w:val="28"/>
                <w:szCs w:val="28"/>
              </w:rPr>
            </w:pPr>
            <w:r w:rsidRPr="005047BE">
              <w:rPr>
                <w:rFonts w:asciiTheme="minorHAnsi" w:hAnsiTheme="minorHAnsi" w:cs="Calibri"/>
                <w:b/>
                <w:bCs/>
                <w:sz w:val="28"/>
                <w:szCs w:val="28"/>
              </w:rPr>
              <w:t>ΘΕΩΡΗΘΗΚΕ</w:t>
            </w:r>
          </w:p>
          <w:p w:rsidR="008A1F21" w:rsidRPr="005047BE" w:rsidRDefault="008A1F21" w:rsidP="00040D99">
            <w:pPr>
              <w:widowControl w:val="0"/>
              <w:autoSpaceDE w:val="0"/>
              <w:autoSpaceDN w:val="0"/>
              <w:adjustRightInd w:val="0"/>
              <w:spacing w:line="360" w:lineRule="auto"/>
              <w:jc w:val="center"/>
              <w:rPr>
                <w:rFonts w:asciiTheme="minorHAnsi" w:hAnsiTheme="minorHAnsi" w:cs="Calibri"/>
                <w:b/>
                <w:bCs/>
              </w:rPr>
            </w:pPr>
            <w:r w:rsidRPr="005047BE">
              <w:rPr>
                <w:rFonts w:asciiTheme="minorHAnsi" w:hAnsiTheme="minorHAnsi" w:cs="Calibri"/>
                <w:b/>
                <w:bCs/>
                <w:sz w:val="22"/>
                <w:szCs w:val="22"/>
              </w:rPr>
              <w:t xml:space="preserve">Ο ΠΡΟΪΣΤΑΜΕΝΟΣ ΤΗΣ </w:t>
            </w:r>
          </w:p>
          <w:p w:rsidR="008A1F21" w:rsidRPr="005047BE" w:rsidRDefault="008A1F21" w:rsidP="00040D99">
            <w:pPr>
              <w:widowControl w:val="0"/>
              <w:autoSpaceDE w:val="0"/>
              <w:autoSpaceDN w:val="0"/>
              <w:adjustRightInd w:val="0"/>
              <w:spacing w:line="360" w:lineRule="auto"/>
              <w:jc w:val="center"/>
              <w:rPr>
                <w:rFonts w:asciiTheme="minorHAnsi" w:hAnsiTheme="minorHAnsi" w:cs="Calibri"/>
              </w:rPr>
            </w:pPr>
            <w:r w:rsidRPr="005047BE">
              <w:rPr>
                <w:rFonts w:asciiTheme="minorHAnsi" w:hAnsiTheme="minorHAnsi" w:cs="Calibri"/>
                <w:b/>
                <w:bCs/>
                <w:sz w:val="22"/>
                <w:szCs w:val="22"/>
              </w:rPr>
              <w:t>Δ/ΝΣΗΣ ΤΕΧΝΙΚΩΝ ΥΠΗΡΕΣΙΩΝ</w:t>
            </w:r>
          </w:p>
        </w:tc>
      </w:tr>
      <w:tr w:rsidR="008A1F21" w:rsidRPr="005047BE" w:rsidTr="00616F19">
        <w:trPr>
          <w:trHeight w:val="1"/>
        </w:trPr>
        <w:tc>
          <w:tcPr>
            <w:tcW w:w="3708" w:type="dxa"/>
            <w:tcBorders>
              <w:top w:val="single" w:sz="2" w:space="0" w:color="000000"/>
              <w:left w:val="single" w:sz="2" w:space="0" w:color="000000"/>
              <w:bottom w:val="single" w:sz="2" w:space="0" w:color="000000"/>
              <w:right w:val="single" w:sz="2" w:space="0" w:color="000000"/>
            </w:tcBorders>
            <w:shd w:val="clear" w:color="000000" w:fill="FFFFFF"/>
          </w:tcPr>
          <w:p w:rsidR="008A1F21" w:rsidRPr="005047BE" w:rsidRDefault="008A1F21" w:rsidP="00040D99">
            <w:pPr>
              <w:widowControl w:val="0"/>
              <w:autoSpaceDE w:val="0"/>
              <w:autoSpaceDN w:val="0"/>
              <w:adjustRightInd w:val="0"/>
              <w:spacing w:line="360" w:lineRule="auto"/>
              <w:jc w:val="center"/>
              <w:rPr>
                <w:rFonts w:asciiTheme="minorHAnsi" w:hAnsiTheme="minorHAnsi" w:cs="Calibri"/>
                <w:b/>
                <w:bCs/>
              </w:rPr>
            </w:pPr>
          </w:p>
          <w:p w:rsidR="008A1F21" w:rsidRPr="005047BE" w:rsidRDefault="008A1F21" w:rsidP="00040D99">
            <w:pPr>
              <w:widowControl w:val="0"/>
              <w:autoSpaceDE w:val="0"/>
              <w:autoSpaceDN w:val="0"/>
              <w:adjustRightInd w:val="0"/>
              <w:spacing w:line="360" w:lineRule="auto"/>
              <w:jc w:val="center"/>
              <w:rPr>
                <w:rFonts w:asciiTheme="minorHAnsi" w:hAnsiTheme="minorHAnsi" w:cs="Calibri"/>
                <w:b/>
                <w:bCs/>
              </w:rPr>
            </w:pPr>
          </w:p>
          <w:p w:rsidR="008A1F21" w:rsidRPr="005047BE" w:rsidRDefault="008A1F21" w:rsidP="00040D99">
            <w:pPr>
              <w:widowControl w:val="0"/>
              <w:autoSpaceDE w:val="0"/>
              <w:autoSpaceDN w:val="0"/>
              <w:adjustRightInd w:val="0"/>
              <w:spacing w:line="360" w:lineRule="auto"/>
              <w:jc w:val="center"/>
              <w:rPr>
                <w:rFonts w:asciiTheme="minorHAnsi" w:hAnsiTheme="minorHAnsi" w:cs="Calibri"/>
                <w:b/>
                <w:bCs/>
              </w:rPr>
            </w:pPr>
            <w:r w:rsidRPr="005047BE">
              <w:rPr>
                <w:rFonts w:asciiTheme="minorHAnsi" w:hAnsiTheme="minorHAnsi" w:cs="Calibri"/>
                <w:b/>
                <w:bCs/>
              </w:rPr>
              <w:t>ΧΑΤΖΗΙΩΑΝΝΟΥ ΚΩΝΣΤΑΝΤΙΝΑ</w:t>
            </w:r>
          </w:p>
          <w:p w:rsidR="008A1F21" w:rsidRPr="005047BE" w:rsidRDefault="008A1F21" w:rsidP="00040D99">
            <w:pPr>
              <w:widowControl w:val="0"/>
              <w:autoSpaceDE w:val="0"/>
              <w:autoSpaceDN w:val="0"/>
              <w:adjustRightInd w:val="0"/>
              <w:spacing w:line="360" w:lineRule="auto"/>
              <w:jc w:val="center"/>
              <w:rPr>
                <w:rFonts w:asciiTheme="minorHAnsi" w:hAnsiTheme="minorHAnsi" w:cs="Calibri"/>
              </w:rPr>
            </w:pPr>
            <w:r w:rsidRPr="005047BE">
              <w:rPr>
                <w:rFonts w:asciiTheme="minorHAnsi" w:hAnsiTheme="minorHAnsi" w:cs="Calibri"/>
                <w:b/>
                <w:bCs/>
              </w:rPr>
              <w:t>ΠΟΛΙΤΙΚΟΣ ΜΗΧΑΝΙΚΟΣ</w:t>
            </w:r>
          </w:p>
        </w:tc>
        <w:tc>
          <w:tcPr>
            <w:tcW w:w="2232" w:type="dxa"/>
            <w:tcBorders>
              <w:top w:val="single" w:sz="2" w:space="0" w:color="000000"/>
              <w:left w:val="single" w:sz="2" w:space="0" w:color="000000"/>
              <w:bottom w:val="single" w:sz="2" w:space="0" w:color="000000"/>
              <w:right w:val="single" w:sz="2" w:space="0" w:color="000000"/>
            </w:tcBorders>
            <w:shd w:val="clear" w:color="000000" w:fill="FFFFFF"/>
          </w:tcPr>
          <w:p w:rsidR="008A1F21" w:rsidRPr="005047BE" w:rsidRDefault="008A1F21" w:rsidP="00040D99">
            <w:pPr>
              <w:widowControl w:val="0"/>
              <w:autoSpaceDE w:val="0"/>
              <w:autoSpaceDN w:val="0"/>
              <w:adjustRightInd w:val="0"/>
              <w:spacing w:line="360" w:lineRule="auto"/>
              <w:jc w:val="both"/>
              <w:rPr>
                <w:rFonts w:asciiTheme="minorHAnsi" w:hAnsiTheme="minorHAnsi" w:cs="Calibri"/>
              </w:rPr>
            </w:pPr>
          </w:p>
        </w:tc>
        <w:tc>
          <w:tcPr>
            <w:tcW w:w="3888" w:type="dxa"/>
            <w:tcBorders>
              <w:top w:val="single" w:sz="2" w:space="0" w:color="000000"/>
              <w:left w:val="single" w:sz="2" w:space="0" w:color="000000"/>
              <w:bottom w:val="single" w:sz="2" w:space="0" w:color="000000"/>
              <w:right w:val="single" w:sz="2" w:space="0" w:color="000000"/>
            </w:tcBorders>
            <w:shd w:val="clear" w:color="000000" w:fill="FFFFFF"/>
          </w:tcPr>
          <w:p w:rsidR="008A1F21" w:rsidRPr="005047BE" w:rsidRDefault="008A1F21" w:rsidP="00040D99">
            <w:pPr>
              <w:widowControl w:val="0"/>
              <w:autoSpaceDE w:val="0"/>
              <w:autoSpaceDN w:val="0"/>
              <w:adjustRightInd w:val="0"/>
              <w:spacing w:line="360" w:lineRule="auto"/>
              <w:jc w:val="center"/>
              <w:rPr>
                <w:rFonts w:asciiTheme="minorHAnsi" w:hAnsiTheme="minorHAnsi" w:cs="Calibri"/>
                <w:b/>
                <w:bCs/>
              </w:rPr>
            </w:pPr>
          </w:p>
          <w:p w:rsidR="008A1F21" w:rsidRPr="005047BE" w:rsidRDefault="008A1F21" w:rsidP="00040D99">
            <w:pPr>
              <w:widowControl w:val="0"/>
              <w:autoSpaceDE w:val="0"/>
              <w:autoSpaceDN w:val="0"/>
              <w:adjustRightInd w:val="0"/>
              <w:spacing w:line="360" w:lineRule="auto"/>
              <w:jc w:val="center"/>
              <w:rPr>
                <w:rFonts w:asciiTheme="minorHAnsi" w:hAnsiTheme="minorHAnsi" w:cs="Calibri"/>
                <w:b/>
                <w:bCs/>
              </w:rPr>
            </w:pPr>
          </w:p>
          <w:p w:rsidR="008A1F21" w:rsidRPr="005047BE" w:rsidRDefault="008A1F21" w:rsidP="00040D99">
            <w:pPr>
              <w:widowControl w:val="0"/>
              <w:autoSpaceDE w:val="0"/>
              <w:autoSpaceDN w:val="0"/>
              <w:adjustRightInd w:val="0"/>
              <w:spacing w:line="360" w:lineRule="auto"/>
              <w:jc w:val="center"/>
              <w:rPr>
                <w:rFonts w:asciiTheme="minorHAnsi" w:hAnsiTheme="minorHAnsi" w:cs="Calibri"/>
                <w:b/>
                <w:bCs/>
              </w:rPr>
            </w:pPr>
            <w:r w:rsidRPr="005047BE">
              <w:rPr>
                <w:rFonts w:asciiTheme="minorHAnsi" w:hAnsiTheme="minorHAnsi" w:cs="Calibri"/>
                <w:b/>
                <w:bCs/>
              </w:rPr>
              <w:t>ΤΣΑΓΛΙΩΤΗΣ ΜΙΧΑΛΗΣ</w:t>
            </w:r>
          </w:p>
          <w:p w:rsidR="008A1F21" w:rsidRPr="005047BE" w:rsidRDefault="008A1F21" w:rsidP="00040D99">
            <w:pPr>
              <w:widowControl w:val="0"/>
              <w:autoSpaceDE w:val="0"/>
              <w:autoSpaceDN w:val="0"/>
              <w:adjustRightInd w:val="0"/>
              <w:spacing w:line="360" w:lineRule="auto"/>
              <w:jc w:val="center"/>
              <w:rPr>
                <w:rFonts w:asciiTheme="minorHAnsi" w:hAnsiTheme="minorHAnsi" w:cs="Calibri"/>
              </w:rPr>
            </w:pPr>
            <w:r w:rsidRPr="005047BE">
              <w:rPr>
                <w:rFonts w:asciiTheme="minorHAnsi" w:hAnsiTheme="minorHAnsi" w:cs="Calibri"/>
                <w:b/>
                <w:bCs/>
              </w:rPr>
              <w:t>ΑΡΧΙΤΕΚΤΩΝ ΜΗΧΑΝΙΚΟΣ</w:t>
            </w:r>
          </w:p>
        </w:tc>
      </w:tr>
    </w:tbl>
    <w:p w:rsidR="008A1F21" w:rsidRPr="005047BE" w:rsidRDefault="008A1F21" w:rsidP="00040D99">
      <w:pPr>
        <w:widowControl w:val="0"/>
        <w:autoSpaceDE w:val="0"/>
        <w:autoSpaceDN w:val="0"/>
        <w:adjustRightInd w:val="0"/>
        <w:spacing w:after="160" w:line="360" w:lineRule="auto"/>
        <w:jc w:val="both"/>
        <w:rPr>
          <w:rFonts w:asciiTheme="minorHAnsi" w:hAnsiTheme="minorHAnsi" w:cs="Calibri"/>
          <w:b/>
          <w:bCs/>
          <w:lang w:val="en-US"/>
        </w:rPr>
      </w:pPr>
    </w:p>
    <w:p w:rsidR="00D83E20" w:rsidRPr="005047BE" w:rsidRDefault="00D83E20" w:rsidP="00040D99">
      <w:pPr>
        <w:spacing w:line="360" w:lineRule="auto"/>
        <w:rPr>
          <w:rFonts w:asciiTheme="minorHAnsi" w:hAnsiTheme="minorHAnsi"/>
        </w:rPr>
      </w:pPr>
    </w:p>
    <w:sectPr w:rsidR="00D83E20" w:rsidRPr="005047BE" w:rsidSect="00FA0C9B">
      <w:pgSz w:w="12240" w:h="15840"/>
      <w:pgMar w:top="1440" w:right="1800" w:bottom="709"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5C47C6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21"/>
    <w:rsid w:val="00036FEE"/>
    <w:rsid w:val="00040D99"/>
    <w:rsid w:val="005047BE"/>
    <w:rsid w:val="00535A3F"/>
    <w:rsid w:val="00572610"/>
    <w:rsid w:val="00745E9E"/>
    <w:rsid w:val="008A1F21"/>
    <w:rsid w:val="00942474"/>
    <w:rsid w:val="00A5547D"/>
    <w:rsid w:val="00C33DDD"/>
    <w:rsid w:val="00CD1A33"/>
    <w:rsid w:val="00D264F6"/>
    <w:rsid w:val="00D83E20"/>
    <w:rsid w:val="00E43960"/>
    <w:rsid w:val="00E71543"/>
    <w:rsid w:val="00E734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F36C"/>
  <w15:docId w15:val="{B10D05A3-822F-49F3-9AAF-D3EBF3BD6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F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8A1F21"/>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customStyle="1" w:styleId="normalwithoutspacing">
    <w:name w:val="normal_without_spacing"/>
    <w:basedOn w:val="a"/>
    <w:rsid w:val="00572610"/>
    <w:pPr>
      <w:suppressAutoHyphens/>
      <w:spacing w:after="60"/>
      <w:jc w:val="both"/>
    </w:pPr>
    <w:rPr>
      <w:rFonts w:ascii="Calibri" w:hAnsi="Calibri" w:cs="Calibri"/>
      <w:sz w:val="22"/>
      <w:lang w:eastAsia="zh-CN"/>
    </w:rPr>
  </w:style>
  <w:style w:type="character" w:customStyle="1" w:styleId="a3">
    <w:name w:val="Σώμα κειμένου_"/>
    <w:basedOn w:val="a0"/>
    <w:link w:val="5"/>
    <w:rsid w:val="005047BE"/>
    <w:rPr>
      <w:rFonts w:ascii="Arial Unicode MS" w:eastAsia="Arial Unicode MS" w:hAnsi="Arial Unicode MS" w:cs="Arial Unicode MS"/>
      <w:shd w:val="clear" w:color="auto" w:fill="FFFFFF"/>
    </w:rPr>
  </w:style>
  <w:style w:type="paragraph" w:customStyle="1" w:styleId="5">
    <w:name w:val="Σώμα κειμένου5"/>
    <w:basedOn w:val="a"/>
    <w:link w:val="a3"/>
    <w:rsid w:val="005047BE"/>
    <w:pPr>
      <w:widowControl w:val="0"/>
      <w:shd w:val="clear" w:color="auto" w:fill="FFFFFF"/>
      <w:spacing w:line="0" w:lineRule="atLeast"/>
      <w:ind w:hanging="360"/>
      <w:jc w:val="right"/>
    </w:pPr>
    <w:rPr>
      <w:rFonts w:ascii="Arial Unicode MS" w:eastAsia="Arial Unicode MS" w:hAnsi="Arial Unicode MS" w:cs="Arial Unicode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1640</Words>
  <Characters>8859</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Konstantina Hatziioannou</dc:creator>
  <cp:lastModifiedBy>Vastardi Sofia</cp:lastModifiedBy>
  <cp:revision>3</cp:revision>
  <dcterms:created xsi:type="dcterms:W3CDTF">2019-02-07T12:01:00Z</dcterms:created>
  <dcterms:modified xsi:type="dcterms:W3CDTF">2019-02-28T05:58:00Z</dcterms:modified>
</cp:coreProperties>
</file>